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5D" w:rsidRPr="00DF3F6E" w:rsidRDefault="00DF3F6E" w:rsidP="00DF3F6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Учитывать дни когда товар был на складе</w:t>
      </w:r>
      <w:r w:rsidR="00892F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(должны учитываться только рабочие дни)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Норма оборачиваемости </w:t>
      </w:r>
      <w:r w:rsidR="00FD4588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D4588">
        <w:rPr>
          <w:rFonts w:ascii="Arial" w:hAnsi="Arial" w:cs="Arial"/>
          <w:color w:val="000000"/>
          <w:sz w:val="20"/>
          <w:szCs w:val="20"/>
          <w:shd w:val="clear" w:color="auto" w:fill="FFFFFF"/>
        </w:rPr>
        <w:t>(реквизит карточки «Номенклатуры», ТипЗначения «Число», длина 5, точность 0)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Оборачиваемость в днях - средний тов. запас*число дней продажи/продажи за выбранный период.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Оборачиваемость в разах - продажи за выбранный период/средний товарный запас.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Средний товарный запас ТЗср = (ТЗ1 /2 + ТЗ2 + ТЗ3 + ТЗ4 + … ТЗn /2) / (n – 1). Остатки на каждый день, деленные на число дней продажи минус 1.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Продажа: сумма продаж в рублях и штуках за выбранный период в оборачиваемости.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Число дней продажи: берется число дней, когда товар был н</w:t>
      </w:r>
      <w:r w:rsidR="0039281C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остатках за выбранный период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Среднедневные продажи Количество = Продажи количество/число дней продажи. Тоже самое и продажи в рублях.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Остаток на конец периода: берется остаток на дату, по которую формируется отчет.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 Уровень товарного запаса в днях = Остаток товара на конец периода/среднедневные продажи (округляется до целых).</w:t>
      </w:r>
    </w:p>
    <w:sectPr w:rsidR="00593F5D" w:rsidRPr="00DF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6E"/>
    <w:rsid w:val="0039281C"/>
    <w:rsid w:val="00593F5D"/>
    <w:rsid w:val="00660C71"/>
    <w:rsid w:val="00892F94"/>
    <w:rsid w:val="00DF3F6E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EFA48-E6F7-4ED2-8ECE-6E4960ED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Серин</dc:creator>
  <cp:keywords/>
  <dc:description/>
  <cp:lastModifiedBy>Жека</cp:lastModifiedBy>
  <cp:revision>5</cp:revision>
  <dcterms:created xsi:type="dcterms:W3CDTF">2013-10-27T19:46:00Z</dcterms:created>
  <dcterms:modified xsi:type="dcterms:W3CDTF">2013-10-28T07:35:00Z</dcterms:modified>
</cp:coreProperties>
</file>