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7FE" w:rsidRDefault="00E5103C">
      <w:r>
        <w:t>ТЗ на доработку ХБК по зарплате</w:t>
      </w:r>
    </w:p>
    <w:p w:rsidR="00E5103C" w:rsidRDefault="00E5103C">
      <w:r>
        <w:t>1.  Реализовать учет «Часов Воскресных</w:t>
      </w:r>
      <w:proofErr w:type="gramStart"/>
      <w:r>
        <w:t>»(</w:t>
      </w:r>
      <w:proofErr w:type="gramEnd"/>
      <w:r>
        <w:t>ЧВ) и «Праздничных Часов» (ПЧ) в формирующихся автоматически «Графики работы» смен, как показано на рисунке 1.</w:t>
      </w:r>
    </w:p>
    <w:p w:rsidR="00E5103C" w:rsidRDefault="00E5103C">
      <w:r>
        <w:rPr>
          <w:noProof/>
          <w:lang w:eastAsia="ru-RU"/>
        </w:rPr>
        <w:drawing>
          <wp:inline distT="0" distB="0" distL="0" distR="0">
            <wp:extent cx="5940425" cy="2834005"/>
            <wp:effectExtent l="19050" t="0" r="3175" b="0"/>
            <wp:docPr id="1" name="Рисунок 0" descr="хбк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бк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03C" w:rsidRDefault="00E5103C">
      <w:r>
        <w:t>Рисунок 1.</w:t>
      </w:r>
    </w:p>
    <w:p w:rsidR="00E5103C" w:rsidRDefault="00E5103C">
      <w:r>
        <w:t>2. Далее это должно перетечь в «Табель учета рабочего времени», как показано на рисунке 2. Соответственно это должно отразиться в записях каждого воскресенья и праздника, как в красных квадратах 1 и 2. То есть в 1-м запись должна быть: «Я 4 ВЧ 2 ПЧ 4», а во 2-м: «Я 12 ВЧ 6 ЧВ 12»</w:t>
      </w:r>
    </w:p>
    <w:p w:rsidR="00E5103C" w:rsidRDefault="00E5103C">
      <w:r>
        <w:rPr>
          <w:noProof/>
          <w:lang w:eastAsia="ru-RU"/>
        </w:rPr>
        <w:drawing>
          <wp:inline distT="0" distB="0" distL="0" distR="0">
            <wp:extent cx="5940425" cy="2900680"/>
            <wp:effectExtent l="19050" t="0" r="3175" b="0"/>
            <wp:docPr id="2" name="Рисунок 1" descr="хб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бк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0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03C" w:rsidRDefault="00E5103C">
      <w:r>
        <w:t xml:space="preserve">3. </w:t>
      </w:r>
      <w:r w:rsidR="00842BC2">
        <w:t xml:space="preserve">Также </w:t>
      </w:r>
      <w:r w:rsidR="0054321E">
        <w:t>ЧВ и ПЧ в виде таких же буквенных обозначений должны отразиться</w:t>
      </w:r>
      <w:r w:rsidR="0006172A">
        <w:t xml:space="preserve"> (совместно с уже существующими обозначениями Я, ВЧ и Н в левом красном квадрате и в правом красном квадрате итоговыми суммами Ночные, Вечерние, Воскресные и  Праздничные), </w:t>
      </w:r>
      <w:r w:rsidR="0054321E">
        <w:t xml:space="preserve"> п</w:t>
      </w:r>
      <w:r>
        <w:t xml:space="preserve">ри печати </w:t>
      </w:r>
      <w:r w:rsidR="0054321E">
        <w:t>формы Т-13, как показано на рисунке 3.</w:t>
      </w:r>
    </w:p>
    <w:p w:rsidR="0054321E" w:rsidRDefault="0006172A">
      <w:r>
        <w:rPr>
          <w:noProof/>
          <w:lang w:eastAsia="ru-RU"/>
        </w:rPr>
        <w:lastRenderedPageBreak/>
        <w:drawing>
          <wp:inline distT="0" distB="0" distL="0" distR="0">
            <wp:extent cx="5940425" cy="2486025"/>
            <wp:effectExtent l="19050" t="0" r="3175" b="0"/>
            <wp:docPr id="4" name="Рисунок 3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72A" w:rsidRDefault="00E615AA">
      <w:r>
        <w:t>4. Так же необходимо добавить постоянные начисления «доплата за воскресные часы» и «доплата за воскресные часы»  (аналогичные «доплата за вечерние часы» и «доплата за ночные часы»)</w:t>
      </w:r>
      <w:proofErr w:type="gramStart"/>
      <w:r>
        <w:t xml:space="preserve"> ,</w:t>
      </w:r>
      <w:proofErr w:type="gramEnd"/>
      <w:r>
        <w:t xml:space="preserve"> с соответствующим отображением их в документе «Начисление зарплаты», как показано на рисунке 4.</w:t>
      </w:r>
    </w:p>
    <w:p w:rsidR="00E615AA" w:rsidRDefault="00E615AA">
      <w:r>
        <w:rPr>
          <w:noProof/>
          <w:lang w:eastAsia="ru-RU"/>
        </w:rPr>
        <w:drawing>
          <wp:inline distT="0" distB="0" distL="0" distR="0">
            <wp:extent cx="5940425" cy="2781935"/>
            <wp:effectExtent l="19050" t="0" r="3175" b="0"/>
            <wp:docPr id="5" name="Рисунок 4" descr="хбк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бк5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8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15AA" w:rsidSect="004E1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03C"/>
    <w:rsid w:val="0006172A"/>
    <w:rsid w:val="001C5748"/>
    <w:rsid w:val="004E17FE"/>
    <w:rsid w:val="0054321E"/>
    <w:rsid w:val="00842BC2"/>
    <w:rsid w:val="00E5103C"/>
    <w:rsid w:val="00E6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0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10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2014-06-04T11:57:00Z</dcterms:created>
  <dcterms:modified xsi:type="dcterms:W3CDTF">2014-06-16T06:14:00Z</dcterms:modified>
</cp:coreProperties>
</file>