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F" w:rsidRDefault="00A75E9F" w:rsidP="00A75E9F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Дополнительные функциональные и технические требования к документу</w:t>
      </w:r>
    </w:p>
    <w:p w:rsidR="00A75E9F" w:rsidRDefault="00A75E9F" w:rsidP="00A75E9F">
      <w:pPr>
        <w:jc w:val="center"/>
      </w:pPr>
      <w:r>
        <w:t>«Отчёт Комитенту о Продажах»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lang w:val="en-US"/>
        </w:rPr>
        <w:t>2</w:t>
      </w:r>
      <w:r>
        <w:t>.0.</w:t>
      </w:r>
      <w:r w:rsidR="009D6E18">
        <w:t>57</w:t>
      </w:r>
      <w:r>
        <w:t>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Дополняется функциональность </w:t>
      </w:r>
      <w:r w:rsidR="009B26D1">
        <w:t>д</w:t>
      </w:r>
      <w:r>
        <w:t>окумента «</w:t>
      </w:r>
      <w:proofErr w:type="spellStart"/>
      <w:r w:rsidR="009B26D1" w:rsidRPr="009B26D1">
        <w:t>ОтчетКомитентуОПродажах</w:t>
      </w:r>
      <w:proofErr w:type="spellEnd"/>
      <w:r>
        <w:t>».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>Добавить в допустимые типы данных реквизита «</w:t>
      </w:r>
      <w:proofErr w:type="spellStart"/>
      <w:r>
        <w:t>СчетФактура</w:t>
      </w:r>
      <w:proofErr w:type="spellEnd"/>
      <w:r>
        <w:t>» тип «</w:t>
      </w:r>
      <w:proofErr w:type="spellStart"/>
      <w:r w:rsidRPr="00A75E9F">
        <w:t>ДокументСсылка</w:t>
      </w:r>
      <w:proofErr w:type="spellEnd"/>
      <w:r w:rsidRPr="00A75E9F">
        <w:t>.</w:t>
      </w:r>
      <w:r>
        <w:t xml:space="preserve"> </w:t>
      </w:r>
      <w:proofErr w:type="spellStart"/>
      <w:r w:rsidRPr="00A75E9F">
        <w:t>СчетНаОплатуПокупателю</w:t>
      </w:r>
      <w:proofErr w:type="spellEnd"/>
      <w:r>
        <w:t>».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>При пустом значении реквизита «ИНН» у реквизита «Поставщик» строки табличной части «Поставщики» документа «</w:t>
      </w:r>
      <w:proofErr w:type="spellStart"/>
      <w:r>
        <w:t>ОтчетКомитентуОПродажах</w:t>
      </w:r>
      <w:proofErr w:type="spellEnd"/>
      <w:r>
        <w:t xml:space="preserve">» </w:t>
      </w:r>
      <w:r w:rsidR="00BD06FA">
        <w:t>и пустом значении реквизита «</w:t>
      </w:r>
      <w:proofErr w:type="spellStart"/>
      <w:r w:rsidR="00BD06FA">
        <w:t>СчетФактура</w:t>
      </w:r>
      <w:proofErr w:type="spellEnd"/>
      <w:r w:rsidR="00BD06FA">
        <w:t>» текущей же строки с</w:t>
      </w:r>
      <w:r>
        <w:t>оздавать документ «</w:t>
      </w:r>
      <w:proofErr w:type="spellStart"/>
      <w:r w:rsidRPr="00A75E9F">
        <w:t>СчетНаОплатуПокупателю</w:t>
      </w:r>
      <w:proofErr w:type="spellEnd"/>
      <w:r>
        <w:t>».</w:t>
      </w:r>
    </w:p>
    <w:p w:rsidR="00BD06FA" w:rsidRDefault="00BD06FA" w:rsidP="00A75E9F">
      <w:pPr>
        <w:pStyle w:val="a3"/>
        <w:numPr>
          <w:ilvl w:val="0"/>
          <w:numId w:val="1"/>
        </w:numPr>
        <w:jc w:val="both"/>
      </w:pPr>
      <w:r>
        <w:t>Созданный документ записывать в базу данных.</w:t>
      </w:r>
    </w:p>
    <w:p w:rsidR="00BD06FA" w:rsidRDefault="00BD06FA" w:rsidP="00A75E9F">
      <w:pPr>
        <w:pStyle w:val="a3"/>
        <w:numPr>
          <w:ilvl w:val="0"/>
          <w:numId w:val="1"/>
        </w:numPr>
        <w:jc w:val="both"/>
      </w:pPr>
      <w:r>
        <w:t>Ссылку на созданный документ «</w:t>
      </w:r>
      <w:proofErr w:type="spellStart"/>
      <w:r w:rsidRPr="00A75E9F">
        <w:t>СчетНаОплатуПокупателю</w:t>
      </w:r>
      <w:proofErr w:type="spellEnd"/>
      <w:r>
        <w:t>» поместить в реквизит «</w:t>
      </w:r>
      <w:proofErr w:type="spellStart"/>
      <w:r>
        <w:t>СчетФактура</w:t>
      </w:r>
      <w:proofErr w:type="spellEnd"/>
      <w:r>
        <w:t>» текущей строки табличной части «Поставщики» документа «</w:t>
      </w:r>
      <w:proofErr w:type="spellStart"/>
      <w:r>
        <w:t>ОтчетКомитентуОПродажах</w:t>
      </w:r>
      <w:proofErr w:type="spellEnd"/>
      <w:r>
        <w:t>».</w:t>
      </w:r>
    </w:p>
    <w:p w:rsidR="00385CA9" w:rsidRDefault="00385CA9" w:rsidP="00A75E9F">
      <w:pPr>
        <w:pStyle w:val="a3"/>
        <w:numPr>
          <w:ilvl w:val="0"/>
          <w:numId w:val="1"/>
        </w:numPr>
        <w:jc w:val="both"/>
      </w:pPr>
      <w:r>
        <w:t>Учесть разницу обращения к данным при записи нового и записанного ранее документа «</w:t>
      </w:r>
      <w:proofErr w:type="spellStart"/>
      <w:r>
        <w:t>ОтчетКомитентуОПродажах</w:t>
      </w:r>
      <w:proofErr w:type="spellEnd"/>
      <w:r>
        <w:t>».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>В создаваемом документе «</w:t>
      </w:r>
      <w:proofErr w:type="spellStart"/>
      <w:r w:rsidRPr="00A75E9F">
        <w:t>СчетНаОплатуПокупателю</w:t>
      </w:r>
      <w:proofErr w:type="spellEnd"/>
      <w:r>
        <w:t>» заполнить реквизиты по следующим правилам:</w:t>
      </w:r>
    </w:p>
    <w:p w:rsidR="00A75E9F" w:rsidRDefault="009D6E18" w:rsidP="00A75E9F">
      <w:pPr>
        <w:pStyle w:val="a3"/>
        <w:numPr>
          <w:ilvl w:val="0"/>
          <w:numId w:val="4"/>
        </w:numPr>
        <w:jc w:val="both"/>
      </w:pPr>
      <w:r>
        <w:t>Значения реквизитов</w:t>
      </w:r>
    </w:p>
    <w:p w:rsidR="00A04CEE" w:rsidRDefault="00A75E9F" w:rsidP="00A75E9F">
      <w:pPr>
        <w:pStyle w:val="a3"/>
        <w:numPr>
          <w:ilvl w:val="1"/>
          <w:numId w:val="4"/>
        </w:numPr>
        <w:jc w:val="both"/>
      </w:pPr>
      <w:r>
        <w:t>Дата</w:t>
      </w:r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r w:rsidRPr="00A75E9F">
        <w:t>Организация</w:t>
      </w:r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r w:rsidRPr="00A75E9F">
        <w:t>Контрагент</w:t>
      </w:r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ДоговорКонтрагента</w:t>
      </w:r>
      <w:proofErr w:type="spellEnd"/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ВалютаДокумента</w:t>
      </w:r>
      <w:proofErr w:type="spellEnd"/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КурсВзаиморасчетов</w:t>
      </w:r>
      <w:proofErr w:type="spellEnd"/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КратностьВзаиморасчетов</w:t>
      </w:r>
      <w:proofErr w:type="spellEnd"/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УчитыватьНДС</w:t>
      </w:r>
      <w:proofErr w:type="spellEnd"/>
    </w:p>
    <w:p w:rsidR="00A75E9F" w:rsidRDefault="00A75E9F" w:rsidP="00A75E9F">
      <w:pPr>
        <w:pStyle w:val="a3"/>
        <w:numPr>
          <w:ilvl w:val="1"/>
          <w:numId w:val="4"/>
        </w:numPr>
        <w:jc w:val="both"/>
      </w:pPr>
      <w:proofErr w:type="spellStart"/>
      <w:r w:rsidRPr="00A75E9F">
        <w:t>СуммаВключаетНДС</w:t>
      </w:r>
      <w:proofErr w:type="spellEnd"/>
    </w:p>
    <w:p w:rsidR="009D6E18" w:rsidRDefault="009D6E18" w:rsidP="009D6E18">
      <w:pPr>
        <w:ind w:left="708"/>
        <w:jc w:val="both"/>
      </w:pPr>
      <w:r>
        <w:t>должны быть равными значениям соответствующих реквизитов документа «</w:t>
      </w:r>
      <w:proofErr w:type="spellStart"/>
      <w:r w:rsidR="009B26D1" w:rsidRPr="009B26D1">
        <w:t>ОтчетКомитентуОПродажах</w:t>
      </w:r>
      <w:proofErr w:type="spellEnd"/>
      <w:r>
        <w:t>».</w:t>
      </w:r>
    </w:p>
    <w:p w:rsidR="00A75E9F" w:rsidRDefault="009D6E18" w:rsidP="00A75E9F">
      <w:pPr>
        <w:pStyle w:val="a3"/>
        <w:numPr>
          <w:ilvl w:val="0"/>
          <w:numId w:val="4"/>
        </w:numPr>
        <w:jc w:val="both"/>
      </w:pPr>
      <w:r>
        <w:t>Значение реквизита «</w:t>
      </w:r>
      <w:proofErr w:type="spellStart"/>
      <w:r w:rsidRPr="009D6E18">
        <w:t>ОрганизацияПолучатель</w:t>
      </w:r>
      <w:proofErr w:type="spellEnd"/>
      <w:r>
        <w:t>» должно быть равным значению реквизита «Организация».</w:t>
      </w:r>
    </w:p>
    <w:p w:rsidR="009D6E18" w:rsidRDefault="009D6E18" w:rsidP="00A75E9F">
      <w:pPr>
        <w:pStyle w:val="a3"/>
        <w:numPr>
          <w:ilvl w:val="0"/>
          <w:numId w:val="4"/>
        </w:numPr>
        <w:jc w:val="both"/>
      </w:pPr>
      <w:r>
        <w:t>Значение реквизита «</w:t>
      </w:r>
      <w:proofErr w:type="spellStart"/>
      <w:r w:rsidRPr="009D6E18">
        <w:t>СтруктурнаяЕдиница</w:t>
      </w:r>
      <w:proofErr w:type="spellEnd"/>
      <w:r>
        <w:t>» должно быть равным значению реквизита «</w:t>
      </w:r>
      <w:proofErr w:type="spellStart"/>
      <w:r w:rsidRPr="009D6E18">
        <w:t>ОсновнойБанковскийСчет</w:t>
      </w:r>
      <w:proofErr w:type="spellEnd"/>
      <w:r>
        <w:t>» значения «</w:t>
      </w:r>
      <w:proofErr w:type="spellStart"/>
      <w:r w:rsidRPr="009D6E18">
        <w:t>ОрганизацияПолучатель</w:t>
      </w:r>
      <w:proofErr w:type="spellEnd"/>
      <w:r>
        <w:t>».</w:t>
      </w:r>
    </w:p>
    <w:p w:rsidR="009D6E18" w:rsidRDefault="009D6E18" w:rsidP="00A75E9F">
      <w:pPr>
        <w:pStyle w:val="a3"/>
        <w:numPr>
          <w:ilvl w:val="0"/>
          <w:numId w:val="4"/>
        </w:numPr>
        <w:jc w:val="both"/>
      </w:pPr>
      <w:r>
        <w:t>Значение реквизита «</w:t>
      </w:r>
      <w:proofErr w:type="spellStart"/>
      <w:r>
        <w:t>Отвественный</w:t>
      </w:r>
      <w:proofErr w:type="spellEnd"/>
      <w:r>
        <w:t>» должно быть равным текущему пользователю системы.</w:t>
      </w:r>
    </w:p>
    <w:p w:rsidR="000B0F31" w:rsidRDefault="000B0F31" w:rsidP="000B0F31">
      <w:pPr>
        <w:pStyle w:val="a3"/>
        <w:numPr>
          <w:ilvl w:val="0"/>
          <w:numId w:val="1"/>
        </w:numPr>
        <w:jc w:val="both"/>
      </w:pPr>
      <w:r>
        <w:t>В создаваемом документе «</w:t>
      </w:r>
      <w:proofErr w:type="spellStart"/>
      <w:r w:rsidRPr="00A75E9F">
        <w:t>СчетНаОплатуПокупателю</w:t>
      </w:r>
      <w:proofErr w:type="spellEnd"/>
      <w:r>
        <w:t>» заполнить табличные части по следующим правилам:</w:t>
      </w:r>
    </w:p>
    <w:p w:rsidR="000B0F31" w:rsidRDefault="000B0F31" w:rsidP="000B0F31">
      <w:pPr>
        <w:pStyle w:val="a3"/>
        <w:numPr>
          <w:ilvl w:val="0"/>
          <w:numId w:val="4"/>
        </w:numPr>
        <w:jc w:val="both"/>
      </w:pPr>
      <w:r>
        <w:t>Переносится каждая строка табличной части «Товары» подчинённая обрабатываемой строке табличной части «Поставщики» документа «</w:t>
      </w:r>
      <w:proofErr w:type="spellStart"/>
      <w:r w:rsidR="009B26D1" w:rsidRPr="009B26D1">
        <w:t>ОтчетКомитентуОПродажах</w:t>
      </w:r>
      <w:proofErr w:type="spellEnd"/>
      <w:r>
        <w:t>».</w:t>
      </w:r>
    </w:p>
    <w:p w:rsidR="000B0F31" w:rsidRDefault="000B0F31" w:rsidP="000B0F31">
      <w:pPr>
        <w:pStyle w:val="a3"/>
        <w:numPr>
          <w:ilvl w:val="0"/>
          <w:numId w:val="4"/>
        </w:numPr>
        <w:jc w:val="both"/>
      </w:pPr>
      <w:r>
        <w:t>Выбор табличной части, в которую будет добавляться строка, осуществить по значению реквизита «Услуга» реквизита «Номенклатура» табличной части «Товары» документа «</w:t>
      </w:r>
      <w:proofErr w:type="spellStart"/>
      <w:r w:rsidR="009B26D1" w:rsidRPr="009B26D1">
        <w:t>ОтчетКомитентуОПродажах</w:t>
      </w:r>
      <w:proofErr w:type="spellEnd"/>
      <w:r>
        <w:t>». Если указанное значение истинно, то строку добавлять в табличную часть «Услуги», в противном случае – в табличную часть «Товары».</w:t>
      </w:r>
    </w:p>
    <w:p w:rsidR="000B0F31" w:rsidRDefault="000B0F31" w:rsidP="000B0F31">
      <w:pPr>
        <w:pStyle w:val="a3"/>
        <w:numPr>
          <w:ilvl w:val="0"/>
          <w:numId w:val="4"/>
        </w:numPr>
        <w:jc w:val="both"/>
      </w:pPr>
      <w:r>
        <w:lastRenderedPageBreak/>
        <w:t>Реквизиты</w:t>
      </w:r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r w:rsidRPr="000B0F31">
        <w:t>Номенклатура</w:t>
      </w:r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r w:rsidRPr="000B0F31">
        <w:t>Цена</w:t>
      </w:r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r w:rsidRPr="000B0F31">
        <w:t>Сумма</w:t>
      </w:r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proofErr w:type="spellStart"/>
      <w:r w:rsidRPr="000B0F31">
        <w:t>СтавкаНДС</w:t>
      </w:r>
      <w:proofErr w:type="spellEnd"/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proofErr w:type="spellStart"/>
      <w:r w:rsidRPr="000B0F31">
        <w:t>СуммаНДС</w:t>
      </w:r>
      <w:proofErr w:type="spellEnd"/>
    </w:p>
    <w:p w:rsidR="000B0F31" w:rsidRDefault="000B0F31" w:rsidP="000B0F31">
      <w:pPr>
        <w:pStyle w:val="a3"/>
        <w:numPr>
          <w:ilvl w:val="1"/>
          <w:numId w:val="4"/>
        </w:numPr>
        <w:jc w:val="both"/>
      </w:pPr>
      <w:r w:rsidRPr="000B0F31">
        <w:t>Количество</w:t>
      </w:r>
    </w:p>
    <w:p w:rsidR="000B0F31" w:rsidRDefault="003E2DBC" w:rsidP="000B0F31">
      <w:pPr>
        <w:ind w:left="708"/>
        <w:jc w:val="both"/>
      </w:pPr>
      <w:r>
        <w:t>добавленной строки документа «</w:t>
      </w:r>
      <w:proofErr w:type="spellStart"/>
      <w:r w:rsidRPr="00A75E9F">
        <w:t>СчетНаОплатуПокупателю</w:t>
      </w:r>
      <w:proofErr w:type="spellEnd"/>
      <w:r>
        <w:t xml:space="preserve">» </w:t>
      </w:r>
      <w:r w:rsidR="000B0F31">
        <w:t xml:space="preserve">должны быть равными значениям соответствующих реквизитов строки табличной части </w:t>
      </w:r>
      <w:r w:rsidR="009B26D1">
        <w:t xml:space="preserve">«Товары» </w:t>
      </w:r>
      <w:r w:rsidR="000B0F31">
        <w:t>документа «</w:t>
      </w:r>
      <w:proofErr w:type="spellStart"/>
      <w:r w:rsidR="009B26D1" w:rsidRPr="009B26D1">
        <w:t>ОтчетКомитентуОПродажах</w:t>
      </w:r>
      <w:proofErr w:type="spellEnd"/>
      <w:r w:rsidR="000B0F31">
        <w:t>».</w:t>
      </w:r>
    </w:p>
    <w:p w:rsidR="000B0F31" w:rsidRDefault="000B0F31" w:rsidP="000B0F31">
      <w:pPr>
        <w:pStyle w:val="a3"/>
        <w:numPr>
          <w:ilvl w:val="0"/>
          <w:numId w:val="4"/>
        </w:numPr>
        <w:jc w:val="both"/>
      </w:pPr>
      <w:proofErr w:type="gramStart"/>
      <w:r>
        <w:t>Значение реквизита «</w:t>
      </w:r>
      <w:r w:rsidR="00290AB3" w:rsidRPr="00290AB3">
        <w:t>Содержание</w:t>
      </w:r>
      <w:r>
        <w:t xml:space="preserve">» </w:t>
      </w:r>
      <w:r w:rsidR="00290AB3">
        <w:t>строки табличной части «Услуги» заполнить значением реквизита «</w:t>
      </w:r>
      <w:proofErr w:type="spellStart"/>
      <w:r w:rsidR="00290AB3">
        <w:t>НаименованиеПолное</w:t>
      </w:r>
      <w:proofErr w:type="spellEnd"/>
      <w:r w:rsidR="00290AB3">
        <w:t>» реквизита «Номенклатура» текущей строки</w:t>
      </w:r>
      <w:r>
        <w:t>.</w:t>
      </w:r>
      <w:proofErr w:type="gramEnd"/>
    </w:p>
    <w:sectPr w:rsidR="000B0F31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08E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5E9F"/>
    <w:rsid w:val="000B0F31"/>
    <w:rsid w:val="00290AB3"/>
    <w:rsid w:val="00385CA9"/>
    <w:rsid w:val="003E2DBC"/>
    <w:rsid w:val="00945B9B"/>
    <w:rsid w:val="009B26D1"/>
    <w:rsid w:val="009D6E18"/>
    <w:rsid w:val="00A04CEE"/>
    <w:rsid w:val="00A75E9F"/>
    <w:rsid w:val="00B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2015-01-11T14:27:00Z</dcterms:created>
  <dcterms:modified xsi:type="dcterms:W3CDTF">2015-01-11T15:08:00Z</dcterms:modified>
</cp:coreProperties>
</file>