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sz w:val="48"/>
          <w:rtl w:val="0"/>
        </w:rPr>
        <w:t xml:space="preserve">Этап 4 - доработка УТ11 - Загрузка фиксированных цен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sz w:val="28"/>
          <w:rtl w:val="0"/>
        </w:rPr>
        <w:t xml:space="preserve">Фиксированными ценами в рублях являются: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520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5205"/>
        <w:tblGridChange w:id="0">
          <w:tblGrid>
            <w:gridCol w:w="520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sz w:val="28"/>
                <w:rtl w:val="0"/>
              </w:rPr>
              <w:t xml:space="preserve">Закупочная цена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sz w:val="28"/>
                <w:rtl w:val="0"/>
              </w:rPr>
              <w:t xml:space="preserve">МРЦ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sz w:val="28"/>
                <w:rtl w:val="0"/>
              </w:rPr>
              <w:t xml:space="preserve">Цена распродажи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sz w:val="28"/>
                <w:rtl w:val="0"/>
              </w:rPr>
              <w:t xml:space="preserve">Зачеркнутая цена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8"/>
          <w:rtl w:val="0"/>
        </w:rPr>
        <w:t xml:space="preserve">Устанавливаются отдельно в карточке товара или массово на выделенные товары в справочнике. Также возможна массовая загрузка фиксированных цен по нашему коду товара или поставщика. Пример массовой загрузки фиксированных цен: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4876800" cx="10058400"/>
            <wp:effectExtent t="0" b="0" r="0" l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4876800" cx="100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sectPr>
      <w:pgSz w:w="15840" w:h="24480"/>
      <w:pgMar w:left="0" w:right="0" w:top="0" w:bottom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 4.docx</dc:title>
</cp:coreProperties>
</file>