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CF" w:rsidRPr="004D0920" w:rsidRDefault="00C359CF" w:rsidP="00AE257C">
      <w:pPr>
        <w:rPr>
          <w:rFonts w:asciiTheme="majorHAnsi" w:hAnsiTheme="majorHAnsi"/>
          <w:b/>
          <w:sz w:val="20"/>
          <w:szCs w:val="20"/>
        </w:rPr>
      </w:pPr>
    </w:p>
    <w:p w:rsidR="00AE257C" w:rsidRPr="004D0920" w:rsidRDefault="00AE257C" w:rsidP="00AE257C">
      <w:pPr>
        <w:rPr>
          <w:rFonts w:asciiTheme="majorHAnsi" w:hAnsiTheme="majorHAnsi"/>
          <w:b/>
          <w:sz w:val="20"/>
          <w:szCs w:val="20"/>
        </w:rPr>
      </w:pPr>
      <w:r w:rsidRPr="004D0920">
        <w:rPr>
          <w:rFonts w:asciiTheme="majorHAnsi" w:hAnsiTheme="majorHAnsi"/>
          <w:b/>
          <w:sz w:val="20"/>
          <w:szCs w:val="20"/>
        </w:rPr>
        <w:t>Цель выполнения работ.</w:t>
      </w:r>
    </w:p>
    <w:p w:rsidR="00AE257C" w:rsidRPr="004D0920" w:rsidRDefault="00AE257C" w:rsidP="000A7656">
      <w:pPr>
        <w:jc w:val="both"/>
        <w:rPr>
          <w:rFonts w:asciiTheme="majorHAnsi" w:hAnsiTheme="majorHAnsi"/>
          <w:sz w:val="20"/>
          <w:szCs w:val="20"/>
        </w:rPr>
      </w:pPr>
      <w:r w:rsidRPr="004D0920">
        <w:rPr>
          <w:rFonts w:asciiTheme="majorHAnsi" w:hAnsiTheme="majorHAnsi"/>
          <w:sz w:val="20"/>
          <w:szCs w:val="20"/>
        </w:rPr>
        <w:t>Целью выполнения работ является автоматизация процесса переоценки валютных счетов в системе 1С Бухгалтерия, исправление ошибок алгоритма, реализованного в текущей версии системы.</w:t>
      </w:r>
    </w:p>
    <w:p w:rsidR="00AE257C" w:rsidRPr="004D0920" w:rsidRDefault="00AE257C" w:rsidP="00AE257C">
      <w:pPr>
        <w:rPr>
          <w:rFonts w:asciiTheme="majorHAnsi" w:hAnsiTheme="majorHAnsi"/>
          <w:b/>
          <w:sz w:val="20"/>
          <w:szCs w:val="20"/>
        </w:rPr>
      </w:pPr>
      <w:r w:rsidRPr="004D0920">
        <w:rPr>
          <w:rFonts w:asciiTheme="majorHAnsi" w:hAnsiTheme="majorHAnsi"/>
          <w:b/>
          <w:sz w:val="20"/>
          <w:szCs w:val="20"/>
        </w:rPr>
        <w:t xml:space="preserve">Описание </w:t>
      </w:r>
      <w:r w:rsidR="00B54AEC" w:rsidRPr="004D0920">
        <w:rPr>
          <w:rFonts w:asciiTheme="majorHAnsi" w:hAnsiTheme="majorHAnsi"/>
          <w:b/>
          <w:sz w:val="20"/>
          <w:szCs w:val="20"/>
        </w:rPr>
        <w:t xml:space="preserve">задействованных </w:t>
      </w:r>
      <w:r w:rsidR="003B5572" w:rsidRPr="004D0920">
        <w:rPr>
          <w:rFonts w:asciiTheme="majorHAnsi" w:hAnsiTheme="majorHAnsi"/>
          <w:b/>
          <w:sz w:val="20"/>
          <w:szCs w:val="20"/>
        </w:rPr>
        <w:t xml:space="preserve">в переоценке </w:t>
      </w:r>
      <w:r w:rsidR="00B54AEC" w:rsidRPr="004D0920">
        <w:rPr>
          <w:rFonts w:asciiTheme="majorHAnsi" w:hAnsiTheme="majorHAnsi"/>
          <w:b/>
          <w:sz w:val="20"/>
          <w:szCs w:val="20"/>
        </w:rPr>
        <w:t>счетов бухгалтерского учета</w:t>
      </w:r>
      <w:r w:rsidRPr="004D0920">
        <w:rPr>
          <w:rFonts w:asciiTheme="majorHAnsi" w:hAnsiTheme="majorHAnsi"/>
          <w:b/>
          <w:sz w:val="20"/>
          <w:szCs w:val="20"/>
        </w:rPr>
        <w:t>.</w:t>
      </w:r>
    </w:p>
    <w:p w:rsidR="00B54AEC" w:rsidRPr="004D0920" w:rsidRDefault="00B54AEC" w:rsidP="000A7656">
      <w:pPr>
        <w:jc w:val="both"/>
        <w:rPr>
          <w:rFonts w:asciiTheme="majorHAnsi" w:hAnsiTheme="majorHAnsi"/>
          <w:sz w:val="20"/>
          <w:szCs w:val="20"/>
        </w:rPr>
      </w:pPr>
      <w:r w:rsidRPr="004D0920">
        <w:rPr>
          <w:rFonts w:asciiTheme="majorHAnsi" w:hAnsiTheme="majorHAnsi"/>
          <w:sz w:val="20"/>
          <w:szCs w:val="20"/>
        </w:rPr>
        <w:t xml:space="preserve">Переоценке подлежат все текущие и транзитные валютные счета </w:t>
      </w:r>
      <w:r w:rsidR="00C359CF" w:rsidRPr="004D0920">
        <w:rPr>
          <w:rFonts w:asciiTheme="majorHAnsi" w:hAnsiTheme="majorHAnsi"/>
          <w:sz w:val="20"/>
          <w:szCs w:val="20"/>
        </w:rPr>
        <w:t>З</w:t>
      </w:r>
      <w:r w:rsidRPr="004D0920">
        <w:rPr>
          <w:rFonts w:asciiTheme="majorHAnsi" w:hAnsiTheme="majorHAnsi"/>
          <w:sz w:val="20"/>
          <w:szCs w:val="20"/>
        </w:rPr>
        <w:t xml:space="preserve">аказчика. Специальные валютные счета переоценке не подлежат. Счет бухгалтерского учета движения денежных средств валюте – 52. </w:t>
      </w:r>
    </w:p>
    <w:p w:rsidR="00AE257C" w:rsidRPr="004D0920" w:rsidRDefault="00B54AEC" w:rsidP="00451F6E">
      <w:pPr>
        <w:spacing w:after="0"/>
        <w:rPr>
          <w:rFonts w:asciiTheme="majorHAnsi" w:hAnsiTheme="majorHAnsi"/>
          <w:sz w:val="20"/>
          <w:szCs w:val="20"/>
        </w:rPr>
      </w:pPr>
      <w:r w:rsidRPr="004D0920">
        <w:rPr>
          <w:rFonts w:asciiTheme="majorHAnsi" w:hAnsiTheme="majorHAnsi"/>
          <w:sz w:val="20"/>
          <w:szCs w:val="20"/>
        </w:rPr>
        <w:t>Аналитика по счету 52:</w:t>
      </w:r>
    </w:p>
    <w:p w:rsidR="003B5572" w:rsidRPr="004D0920" w:rsidRDefault="003B5572" w:rsidP="00451F6E">
      <w:pPr>
        <w:spacing w:after="0"/>
        <w:rPr>
          <w:rFonts w:asciiTheme="majorHAnsi" w:hAnsiTheme="majorHAnsi"/>
          <w:sz w:val="20"/>
          <w:szCs w:val="20"/>
        </w:rPr>
      </w:pPr>
      <w:r w:rsidRPr="004D0920">
        <w:rPr>
          <w:rFonts w:asciiTheme="majorHAnsi" w:hAnsiTheme="majorHAnsi"/>
          <w:sz w:val="20"/>
          <w:szCs w:val="20"/>
        </w:rPr>
        <w:t>Субконто 1: банковский счет (справочник);</w:t>
      </w:r>
    </w:p>
    <w:p w:rsidR="003B5572" w:rsidRPr="004D0920" w:rsidRDefault="003B5572" w:rsidP="00451F6E">
      <w:pPr>
        <w:spacing w:after="0"/>
        <w:rPr>
          <w:rFonts w:asciiTheme="majorHAnsi" w:hAnsiTheme="majorHAnsi"/>
          <w:sz w:val="20"/>
          <w:szCs w:val="20"/>
        </w:rPr>
      </w:pPr>
      <w:r w:rsidRPr="004D0920">
        <w:rPr>
          <w:rFonts w:asciiTheme="majorHAnsi" w:hAnsiTheme="majorHAnsi"/>
          <w:sz w:val="20"/>
          <w:szCs w:val="20"/>
        </w:rPr>
        <w:t xml:space="preserve">Субконто 2: 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вид движения денежных средств (справочник)</w:t>
      </w:r>
    </w:p>
    <w:p w:rsidR="00AE257C" w:rsidRPr="004D0920" w:rsidRDefault="003B5572" w:rsidP="00451F6E">
      <w:pPr>
        <w:spacing w:after="0"/>
        <w:rPr>
          <w:rFonts w:asciiTheme="majorHAnsi" w:hAnsiTheme="majorHAnsi"/>
          <w:sz w:val="20"/>
          <w:szCs w:val="20"/>
        </w:rPr>
      </w:pPr>
      <w:r w:rsidRPr="004D0920">
        <w:rPr>
          <w:rFonts w:asciiTheme="majorHAnsi" w:hAnsiTheme="majorHAnsi"/>
          <w:sz w:val="20"/>
          <w:szCs w:val="20"/>
        </w:rPr>
        <w:t>Прочие счета, задействованные в хозяйственных операциях:</w:t>
      </w:r>
    </w:p>
    <w:p w:rsidR="003B5572" w:rsidRPr="004D0920" w:rsidRDefault="003B5572" w:rsidP="00AE257C">
      <w:pPr>
        <w:rPr>
          <w:rFonts w:asciiTheme="majorHAnsi" w:hAnsiTheme="majorHAns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1688"/>
        <w:gridCol w:w="804"/>
        <w:gridCol w:w="791"/>
        <w:gridCol w:w="806"/>
        <w:gridCol w:w="809"/>
        <w:gridCol w:w="1287"/>
        <w:gridCol w:w="1050"/>
        <w:gridCol w:w="1507"/>
      </w:tblGrid>
      <w:tr w:rsidR="003B5572" w:rsidRPr="004D0920" w:rsidTr="003B5572">
        <w:tc>
          <w:tcPr>
            <w:tcW w:w="858" w:type="dxa"/>
          </w:tcPr>
          <w:p w:rsidR="003B5572" w:rsidRPr="004D0920" w:rsidRDefault="003B5572" w:rsidP="00AE25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0920">
              <w:rPr>
                <w:rFonts w:asciiTheme="majorHAnsi" w:hAnsiTheme="majorHAnsi"/>
                <w:sz w:val="20"/>
                <w:szCs w:val="20"/>
              </w:rPr>
              <w:t>Код</w:t>
            </w:r>
          </w:p>
        </w:tc>
        <w:tc>
          <w:tcPr>
            <w:tcW w:w="1607" w:type="dxa"/>
          </w:tcPr>
          <w:p w:rsidR="003B5572" w:rsidRPr="004D0920" w:rsidRDefault="003B5572" w:rsidP="00AE25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0920">
              <w:rPr>
                <w:rFonts w:asciiTheme="majorHAnsi" w:hAnsiTheme="majorHAnsi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:rsidR="003B5572" w:rsidRPr="004D0920" w:rsidRDefault="003B5572" w:rsidP="00AE25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D0920">
              <w:rPr>
                <w:rFonts w:asciiTheme="majorHAnsi" w:hAnsiTheme="majorHAnsi"/>
                <w:sz w:val="20"/>
                <w:szCs w:val="20"/>
              </w:rPr>
              <w:t>Заб</w:t>
            </w:r>
            <w:proofErr w:type="spellEnd"/>
          </w:p>
        </w:tc>
        <w:tc>
          <w:tcPr>
            <w:tcW w:w="847" w:type="dxa"/>
          </w:tcPr>
          <w:p w:rsidR="003B5572" w:rsidRPr="004D0920" w:rsidRDefault="003B5572" w:rsidP="00AE25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0920">
              <w:rPr>
                <w:rFonts w:asciiTheme="majorHAnsi" w:hAnsiTheme="majorHAnsi"/>
                <w:sz w:val="20"/>
                <w:szCs w:val="20"/>
              </w:rPr>
              <w:t>Акт</w:t>
            </w:r>
          </w:p>
        </w:tc>
        <w:tc>
          <w:tcPr>
            <w:tcW w:w="852" w:type="dxa"/>
          </w:tcPr>
          <w:p w:rsidR="003B5572" w:rsidRPr="004D0920" w:rsidRDefault="003B5572" w:rsidP="00AE25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0920">
              <w:rPr>
                <w:rFonts w:asciiTheme="majorHAnsi" w:hAnsiTheme="majorHAnsi"/>
                <w:sz w:val="20"/>
                <w:szCs w:val="20"/>
              </w:rPr>
              <w:t>Вал</w:t>
            </w:r>
          </w:p>
        </w:tc>
        <w:tc>
          <w:tcPr>
            <w:tcW w:w="855" w:type="dxa"/>
          </w:tcPr>
          <w:p w:rsidR="003B5572" w:rsidRPr="004D0920" w:rsidRDefault="003B5572" w:rsidP="00AE25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0920">
              <w:rPr>
                <w:rFonts w:asciiTheme="majorHAnsi" w:hAnsiTheme="majorHAnsi"/>
                <w:sz w:val="20"/>
                <w:szCs w:val="20"/>
              </w:rPr>
              <w:t>Кол</w:t>
            </w:r>
          </w:p>
        </w:tc>
        <w:tc>
          <w:tcPr>
            <w:tcW w:w="1162" w:type="dxa"/>
          </w:tcPr>
          <w:p w:rsidR="003B5572" w:rsidRPr="004D0920" w:rsidRDefault="003B5572" w:rsidP="00AE25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0920">
              <w:rPr>
                <w:rFonts w:asciiTheme="majorHAnsi" w:hAnsiTheme="majorHAnsi"/>
                <w:sz w:val="20"/>
                <w:szCs w:val="20"/>
              </w:rPr>
              <w:t>Субк</w:t>
            </w:r>
            <w:proofErr w:type="gramStart"/>
            <w:r w:rsidRPr="004D0920">
              <w:rPr>
                <w:rFonts w:asciiTheme="majorHAnsi" w:hAnsiTheme="maj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9" w:type="dxa"/>
          </w:tcPr>
          <w:p w:rsidR="003B5572" w:rsidRPr="004D0920" w:rsidRDefault="003B5572" w:rsidP="00AE25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0920">
              <w:rPr>
                <w:rFonts w:asciiTheme="majorHAnsi" w:hAnsiTheme="majorHAnsi"/>
                <w:sz w:val="20"/>
                <w:szCs w:val="20"/>
              </w:rPr>
              <w:t>Субк</w:t>
            </w:r>
            <w:proofErr w:type="gramStart"/>
            <w:r w:rsidRPr="004D0920">
              <w:rPr>
                <w:rFonts w:asciiTheme="majorHAnsi" w:hAnsiTheme="maj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48" w:type="dxa"/>
          </w:tcPr>
          <w:p w:rsidR="003B5572" w:rsidRPr="004D0920" w:rsidRDefault="003B5572" w:rsidP="00AE25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0920">
              <w:rPr>
                <w:rFonts w:asciiTheme="majorHAnsi" w:hAnsiTheme="majorHAnsi"/>
                <w:sz w:val="20"/>
                <w:szCs w:val="20"/>
              </w:rPr>
              <w:t>Субк3</w:t>
            </w:r>
          </w:p>
        </w:tc>
      </w:tr>
      <w:tr w:rsidR="003B5572" w:rsidRPr="004D0920" w:rsidTr="003B5572">
        <w:tc>
          <w:tcPr>
            <w:tcW w:w="858" w:type="dxa"/>
          </w:tcPr>
          <w:p w:rsidR="003B5572" w:rsidRPr="004D0920" w:rsidRDefault="003B5572" w:rsidP="003B557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86.05</w:t>
            </w:r>
          </w:p>
        </w:tc>
        <w:tc>
          <w:tcPr>
            <w:tcW w:w="1607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Целевые поступления доверителей по договорам юридической помощи</w:t>
            </w:r>
          </w:p>
        </w:tc>
        <w:tc>
          <w:tcPr>
            <w:tcW w:w="850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847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АП</w:t>
            </w:r>
          </w:p>
        </w:tc>
        <w:tc>
          <w:tcPr>
            <w:tcW w:w="852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855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162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Контрагенты</w:t>
            </w:r>
          </w:p>
        </w:tc>
        <w:tc>
          <w:tcPr>
            <w:tcW w:w="939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Договоры</w:t>
            </w:r>
          </w:p>
        </w:tc>
        <w:tc>
          <w:tcPr>
            <w:tcW w:w="1348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(об) Движения целевых средств</w:t>
            </w:r>
          </w:p>
        </w:tc>
      </w:tr>
      <w:tr w:rsidR="003B5572" w:rsidRPr="004D0920" w:rsidTr="003B5572">
        <w:tc>
          <w:tcPr>
            <w:tcW w:w="858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76.26</w:t>
            </w:r>
          </w:p>
        </w:tc>
        <w:tc>
          <w:tcPr>
            <w:tcW w:w="1607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Расчеты с прочими покупателями и заказчиками (в валюте)</w:t>
            </w:r>
          </w:p>
        </w:tc>
        <w:tc>
          <w:tcPr>
            <w:tcW w:w="850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847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АП</w:t>
            </w:r>
          </w:p>
        </w:tc>
        <w:tc>
          <w:tcPr>
            <w:tcW w:w="852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Да </w:t>
            </w:r>
          </w:p>
        </w:tc>
        <w:tc>
          <w:tcPr>
            <w:tcW w:w="855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162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Контрагенты</w:t>
            </w:r>
          </w:p>
        </w:tc>
        <w:tc>
          <w:tcPr>
            <w:tcW w:w="939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Договоры</w:t>
            </w:r>
          </w:p>
        </w:tc>
        <w:tc>
          <w:tcPr>
            <w:tcW w:w="1348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Документы расчетов с контрагентом</w:t>
            </w:r>
          </w:p>
        </w:tc>
      </w:tr>
      <w:tr w:rsidR="003B5572" w:rsidRPr="004D0920" w:rsidTr="003B5572">
        <w:tc>
          <w:tcPr>
            <w:tcW w:w="858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76.10</w:t>
            </w:r>
          </w:p>
        </w:tc>
        <w:tc>
          <w:tcPr>
            <w:tcW w:w="1607" w:type="dxa"/>
          </w:tcPr>
          <w:p w:rsidR="003B5572" w:rsidRPr="004D0920" w:rsidRDefault="003B5572" w:rsidP="003B557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Расчеты по отложенному целевому финансированию</w:t>
            </w:r>
          </w:p>
        </w:tc>
        <w:tc>
          <w:tcPr>
            <w:tcW w:w="850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847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АП</w:t>
            </w:r>
          </w:p>
        </w:tc>
        <w:tc>
          <w:tcPr>
            <w:tcW w:w="852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855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162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Контрагенты</w:t>
            </w:r>
          </w:p>
        </w:tc>
        <w:tc>
          <w:tcPr>
            <w:tcW w:w="939" w:type="dxa"/>
          </w:tcPr>
          <w:p w:rsidR="003B5572" w:rsidRPr="004D0920" w:rsidRDefault="003B5572" w:rsidP="003B5572">
            <w:pPr>
              <w:spacing w:before="100" w:beforeAutospacing="1" w:after="100" w:afterAutospacing="1" w:line="225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4D0920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Договоры</w:t>
            </w:r>
          </w:p>
        </w:tc>
        <w:tc>
          <w:tcPr>
            <w:tcW w:w="1348" w:type="dxa"/>
          </w:tcPr>
          <w:p w:rsidR="003B5572" w:rsidRPr="004D0920" w:rsidRDefault="003B5572" w:rsidP="003B557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51F6E" w:rsidRPr="004D0920" w:rsidRDefault="00451F6E" w:rsidP="00AE257C">
      <w:pPr>
        <w:jc w:val="center"/>
        <w:rPr>
          <w:rFonts w:asciiTheme="majorHAnsi" w:hAnsiTheme="majorHAnsi"/>
          <w:sz w:val="20"/>
          <w:szCs w:val="20"/>
        </w:rPr>
      </w:pPr>
    </w:p>
    <w:p w:rsidR="003B5572" w:rsidRPr="004D0920" w:rsidRDefault="003B5572" w:rsidP="000A7656">
      <w:pPr>
        <w:jc w:val="both"/>
        <w:rPr>
          <w:rFonts w:asciiTheme="majorHAnsi" w:hAnsiTheme="majorHAnsi"/>
          <w:b/>
          <w:sz w:val="20"/>
          <w:szCs w:val="20"/>
        </w:rPr>
      </w:pPr>
      <w:r w:rsidRPr="004D0920">
        <w:rPr>
          <w:rFonts w:asciiTheme="majorHAnsi" w:hAnsiTheme="majorHAnsi"/>
          <w:b/>
          <w:sz w:val="20"/>
          <w:szCs w:val="20"/>
        </w:rPr>
        <w:t>Описание текуще</w:t>
      </w:r>
      <w:r w:rsidR="00C359CF" w:rsidRPr="004D0920">
        <w:rPr>
          <w:rFonts w:asciiTheme="majorHAnsi" w:hAnsiTheme="majorHAnsi"/>
          <w:b/>
          <w:sz w:val="20"/>
          <w:szCs w:val="20"/>
        </w:rPr>
        <w:t>й ситуации</w:t>
      </w:r>
    </w:p>
    <w:p w:rsidR="00C359CF" w:rsidRPr="004D0920" w:rsidRDefault="00C359CF" w:rsidP="000A7656">
      <w:pPr>
        <w:jc w:val="both"/>
        <w:rPr>
          <w:rFonts w:asciiTheme="majorHAnsi" w:hAnsiTheme="majorHAnsi"/>
          <w:sz w:val="20"/>
          <w:szCs w:val="20"/>
        </w:rPr>
      </w:pPr>
      <w:r w:rsidRPr="004D0920">
        <w:rPr>
          <w:rFonts w:asciiTheme="majorHAnsi" w:hAnsiTheme="majorHAnsi"/>
          <w:sz w:val="20"/>
          <w:szCs w:val="20"/>
        </w:rPr>
        <w:t>В текущей версии системы алгоритм переоценки счетов настроен следующим образом (пример):</w:t>
      </w:r>
    </w:p>
    <w:p w:rsidR="00C359CF" w:rsidRPr="004D0920" w:rsidRDefault="00C359CF" w:rsidP="000A765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Остаток на транзитном 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USD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счете 0. Поступила оплата от клиента 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X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на сумму 1000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USD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по договору №1. Курс ЦБ  на дату платежа – 45р./</w:t>
      </w:r>
      <w:proofErr w:type="gramStart"/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USD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.</w:t>
      </w:r>
      <w:proofErr w:type="gramEnd"/>
    </w:p>
    <w:p w:rsidR="00451F6E" w:rsidRPr="004D0920" w:rsidRDefault="00451F6E" w:rsidP="000A765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C359CF" w:rsidRPr="004D0920" w:rsidRDefault="00C359CF" w:rsidP="000A7656">
      <w:pPr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Система автоматически формирует проводки:</w:t>
      </w:r>
    </w:p>
    <w:p w:rsidR="00C359CF" w:rsidRPr="004D0920" w:rsidRDefault="00C359CF" w:rsidP="000A7656">
      <w:pPr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Д 52  –  К 76.26 на сумму 1000 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USD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/ 45 000 р. – зачислена оплата от Доверителя</w:t>
      </w:r>
    </w:p>
    <w:p w:rsidR="00C359CF" w:rsidRPr="004D0920" w:rsidRDefault="00C359CF" w:rsidP="000A7656">
      <w:pPr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Д 76.10  –  К. 86.05  на сумму 45000р - начислено целевое финансирование по клиенту 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X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и договору №1.</w:t>
      </w:r>
    </w:p>
    <w:p w:rsidR="00C359CF" w:rsidRPr="004D0920" w:rsidRDefault="00C359CF" w:rsidP="000A765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На следующий день поступила оплата от клиента 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Y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на сумму 200 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USD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по договору №2. Курс ЦБ на дату платежа -47 р./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USD</w:t>
      </w:r>
    </w:p>
    <w:p w:rsidR="00C359CF" w:rsidRPr="004D0920" w:rsidRDefault="00C359CF" w:rsidP="000A7656">
      <w:pPr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Автоматически </w:t>
      </w:r>
      <w:r w:rsidR="006778CD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формируются проводки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:</w:t>
      </w:r>
    </w:p>
    <w:p w:rsidR="00C359CF" w:rsidRPr="004D0920" w:rsidRDefault="006778CD" w:rsidP="000A7656">
      <w:pPr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Д 52 – К 91.01 на сумму 2000р - </w:t>
      </w:r>
      <w:r w:rsidR="00C359CF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Курсовая разница в связи с переоце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нкой валютного остатка по счету (</w:t>
      </w:r>
      <w:r w:rsidR="00C359CF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47000-45000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=2000)</w:t>
      </w:r>
    </w:p>
    <w:p w:rsidR="00C359CF" w:rsidRPr="004D0920" w:rsidRDefault="00C359CF" w:rsidP="000A7656">
      <w:pPr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Д 52</w:t>
      </w:r>
      <w:r w:rsidR="006778CD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– К 76.26  </w:t>
      </w:r>
      <w:r w:rsidR="006778CD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на сумму 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200 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USD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/ 9 400 р.  – зачислена оплата от Доверителя</w:t>
      </w:r>
    </w:p>
    <w:p w:rsidR="00C359CF" w:rsidRPr="004D0920" w:rsidRDefault="00C359CF" w:rsidP="000A7656">
      <w:pPr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Д 76.10 – К. 86.05  </w:t>
      </w:r>
      <w:r w:rsidR="006778CD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на сумму 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9400 руб.</w:t>
      </w:r>
      <w:r w:rsidR="006778CD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- </w:t>
      </w:r>
      <w:r w:rsidR="006778CD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начислено целевое финансирование по клиенту 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Y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и договору №2.</w:t>
      </w:r>
    </w:p>
    <w:p w:rsidR="00C359CF" w:rsidRPr="004D0920" w:rsidRDefault="00C359CF" w:rsidP="00C359CF">
      <w:pPr>
        <w:rPr>
          <w:rFonts w:asciiTheme="majorHAnsi" w:hAnsiTheme="majorHAnsi"/>
          <w:sz w:val="20"/>
          <w:szCs w:val="20"/>
        </w:rPr>
      </w:pPr>
    </w:p>
    <w:p w:rsidR="00C359CF" w:rsidRPr="004D0920" w:rsidRDefault="006778CD" w:rsidP="000A7656">
      <w:pPr>
        <w:jc w:val="both"/>
        <w:rPr>
          <w:rFonts w:asciiTheme="majorHAnsi" w:hAnsiTheme="majorHAnsi"/>
          <w:sz w:val="20"/>
          <w:szCs w:val="20"/>
        </w:rPr>
      </w:pPr>
      <w:r w:rsidRPr="004D0920">
        <w:rPr>
          <w:rFonts w:asciiTheme="majorHAnsi" w:hAnsiTheme="majorHAnsi"/>
          <w:sz w:val="20"/>
          <w:szCs w:val="20"/>
        </w:rPr>
        <w:t>П</w:t>
      </w:r>
      <w:r w:rsidR="00C359CF" w:rsidRPr="004D0920">
        <w:rPr>
          <w:rFonts w:asciiTheme="majorHAnsi" w:hAnsiTheme="majorHAnsi"/>
          <w:sz w:val="20"/>
          <w:szCs w:val="20"/>
        </w:rPr>
        <w:t xml:space="preserve">роводка 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Д 52 – К 91.01 </w:t>
      </w:r>
      <w:r w:rsidR="00C359CF" w:rsidRPr="004D0920">
        <w:rPr>
          <w:rFonts w:asciiTheme="majorHAnsi" w:hAnsiTheme="majorHAnsi"/>
          <w:sz w:val="20"/>
          <w:szCs w:val="20"/>
        </w:rPr>
        <w:t>не корректна, так как по факту не происходит формирование дохода</w:t>
      </w:r>
      <w:r w:rsidRPr="004D0920">
        <w:rPr>
          <w:rFonts w:asciiTheme="majorHAnsi" w:hAnsiTheme="majorHAnsi"/>
          <w:sz w:val="20"/>
          <w:szCs w:val="20"/>
        </w:rPr>
        <w:t>, а изменяется объем целевого финансирования.</w:t>
      </w:r>
      <w:bookmarkStart w:id="0" w:name="_GoBack"/>
      <w:bookmarkEnd w:id="0"/>
    </w:p>
    <w:p w:rsidR="00C359CF" w:rsidRPr="004D0920" w:rsidRDefault="00C359CF" w:rsidP="000A7656">
      <w:pPr>
        <w:jc w:val="both"/>
        <w:rPr>
          <w:rFonts w:asciiTheme="majorHAnsi" w:hAnsiTheme="majorHAnsi"/>
          <w:b/>
          <w:sz w:val="20"/>
          <w:szCs w:val="20"/>
        </w:rPr>
      </w:pPr>
      <w:r w:rsidRPr="004D0920">
        <w:rPr>
          <w:rFonts w:asciiTheme="majorHAnsi" w:hAnsiTheme="majorHAnsi"/>
          <w:b/>
          <w:sz w:val="20"/>
          <w:szCs w:val="20"/>
        </w:rPr>
        <w:lastRenderedPageBreak/>
        <w:t>Требования к автоматизации переоценки валютных счетов</w:t>
      </w:r>
    </w:p>
    <w:p w:rsidR="00C359CF" w:rsidRPr="004D0920" w:rsidRDefault="006778CD" w:rsidP="000A7656">
      <w:pPr>
        <w:jc w:val="both"/>
        <w:rPr>
          <w:rFonts w:asciiTheme="majorHAnsi" w:hAnsiTheme="majorHAnsi"/>
          <w:sz w:val="20"/>
          <w:szCs w:val="20"/>
        </w:rPr>
      </w:pPr>
      <w:r w:rsidRPr="004D0920">
        <w:rPr>
          <w:rFonts w:asciiTheme="majorHAnsi" w:hAnsiTheme="majorHAnsi"/>
          <w:sz w:val="20"/>
          <w:szCs w:val="20"/>
        </w:rPr>
        <w:t xml:space="preserve">В описанном выше </w:t>
      </w:r>
      <w:proofErr w:type="gramStart"/>
      <w:r w:rsidRPr="004D0920">
        <w:rPr>
          <w:rFonts w:asciiTheme="majorHAnsi" w:hAnsiTheme="majorHAnsi"/>
          <w:sz w:val="20"/>
          <w:szCs w:val="20"/>
        </w:rPr>
        <w:t>примере</w:t>
      </w:r>
      <w:proofErr w:type="gramEnd"/>
      <w:r w:rsidRPr="004D0920">
        <w:rPr>
          <w:rFonts w:asciiTheme="majorHAnsi" w:hAnsiTheme="majorHAnsi"/>
          <w:sz w:val="20"/>
          <w:szCs w:val="20"/>
        </w:rPr>
        <w:t xml:space="preserve"> должны формироваться следующие проводки:</w:t>
      </w:r>
    </w:p>
    <w:p w:rsidR="006778CD" w:rsidRPr="004D0920" w:rsidRDefault="006778CD" w:rsidP="000A7656">
      <w:pPr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Д 52 – К 86.05 на сумму 2000 руб. Аналитика на счете 86.05: Клиент 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X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/Договор №1/«прочие поступления»;</w:t>
      </w:r>
    </w:p>
    <w:p w:rsidR="006778CD" w:rsidRPr="004D0920" w:rsidRDefault="006778CD" w:rsidP="000A7656">
      <w:pPr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Д 52 – К 76.26 на сумму 200 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USD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/ 9 400 р. Аналитика на счете 76.26: Клиент 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Y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/ счет учета расчетов с Доверителями (клиентами) в валюте.</w:t>
      </w:r>
    </w:p>
    <w:p w:rsidR="006778CD" w:rsidRPr="004D0920" w:rsidRDefault="006778CD" w:rsidP="000A7656">
      <w:pPr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Д 76.10 – К. 86.05 на сумму 9400. Аналитика на счете 86.05: Клиент </w:t>
      </w:r>
      <w:r w:rsidRPr="004D0920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Y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/ договор №2.</w:t>
      </w:r>
    </w:p>
    <w:p w:rsidR="00451F6E" w:rsidRPr="004D0920" w:rsidRDefault="00451F6E" w:rsidP="00451F6E">
      <w:pPr>
        <w:spacing w:after="0" w:line="240" w:lineRule="auto"/>
        <w:ind w:left="709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DA4042" w:rsidRPr="004D0920" w:rsidRDefault="006778CD" w:rsidP="00D328F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Таким образом</w:t>
      </w:r>
      <w:r w:rsidR="005F4599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,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при </w:t>
      </w:r>
      <w:r w:rsidR="00951D32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отражении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операции по счету 52 (первой по хронологии в границе календарной даты) система должна автоматически формировать вышеуказанные проводки по переоценке</w:t>
      </w:r>
      <w:r w:rsidR="00951D32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валютных остатков на счете 76.26 </w:t>
      </w:r>
      <w:r w:rsidR="00DA4042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в разрезе Контрагентов и</w:t>
      </w:r>
      <w:r w:rsidR="006F36D4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</w:t>
      </w:r>
      <w:r w:rsidR="00DA4042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Д</w:t>
      </w:r>
      <w:r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>оговоров</w:t>
      </w:r>
      <w:r w:rsidR="00DA4042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с контрагентами. Исключение составляют, как было указано выше специальные банковские счета, которые не подлежат переоценке.</w:t>
      </w:r>
      <w:r w:rsidR="004D0920" w:rsidRPr="004D0920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</w:t>
      </w:r>
    </w:p>
    <w:sectPr w:rsidR="00DA4042" w:rsidRPr="004D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7C"/>
    <w:rsid w:val="000A7656"/>
    <w:rsid w:val="003B5572"/>
    <w:rsid w:val="00451F6E"/>
    <w:rsid w:val="004A2213"/>
    <w:rsid w:val="004A7D85"/>
    <w:rsid w:val="004D0920"/>
    <w:rsid w:val="005F4599"/>
    <w:rsid w:val="00630AAC"/>
    <w:rsid w:val="006778CD"/>
    <w:rsid w:val="006F36D4"/>
    <w:rsid w:val="0082076E"/>
    <w:rsid w:val="00877028"/>
    <w:rsid w:val="00951D32"/>
    <w:rsid w:val="009F678E"/>
    <w:rsid w:val="00A057A4"/>
    <w:rsid w:val="00AE257C"/>
    <w:rsid w:val="00B54AEC"/>
    <w:rsid w:val="00C04CDC"/>
    <w:rsid w:val="00C359CF"/>
    <w:rsid w:val="00CF69A9"/>
    <w:rsid w:val="00D328FD"/>
    <w:rsid w:val="00DA4042"/>
    <w:rsid w:val="00DA4D26"/>
    <w:rsid w:val="00F0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????????? 1"/>
    <w:basedOn w:val="a"/>
    <w:next w:val="a"/>
    <w:uiPriority w:val="99"/>
    <w:rsid w:val="00630AAC"/>
    <w:pPr>
      <w:keepNext/>
      <w:tabs>
        <w:tab w:val="left" w:pos="2410"/>
        <w:tab w:val="left" w:pos="5103"/>
        <w:tab w:val="left" w:pos="5529"/>
        <w:tab w:val="left" w:pos="5812"/>
      </w:tabs>
      <w:spacing w:before="240" w:after="0" w:line="240" w:lineRule="auto"/>
      <w:ind w:firstLine="709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????????? 1"/>
    <w:basedOn w:val="a"/>
    <w:next w:val="a"/>
    <w:uiPriority w:val="99"/>
    <w:rsid w:val="00630AAC"/>
    <w:pPr>
      <w:keepNext/>
      <w:tabs>
        <w:tab w:val="left" w:pos="2410"/>
        <w:tab w:val="left" w:pos="5103"/>
        <w:tab w:val="left" w:pos="5529"/>
        <w:tab w:val="left" w:pos="5812"/>
      </w:tabs>
      <w:spacing w:before="240" w:after="0" w:line="240" w:lineRule="auto"/>
      <w:ind w:firstLine="709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577D-E6AD-403C-AF74-29BCE694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Ельников Олег Владимирович</dc:creator>
  <cp:lastModifiedBy>Чертков Максим Александрович</cp:lastModifiedBy>
  <cp:revision>4</cp:revision>
  <dcterms:created xsi:type="dcterms:W3CDTF">2015-06-02T09:24:00Z</dcterms:created>
  <dcterms:modified xsi:type="dcterms:W3CDTF">2015-06-02T09:34:00Z</dcterms:modified>
</cp:coreProperties>
</file>