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025.511811023624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84.097459515674"/>
        <w:gridCol w:w="6641.414351507949"/>
        <w:tblGridChange w:id="0">
          <w:tblGrid>
            <w:gridCol w:w="2384.097459515674"/>
            <w:gridCol w:w="6641.414351507949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0" w:firstLine="0"/>
              <w:contextualSpacing w:val="0"/>
            </w:pPr>
            <w:r w:rsidDel="00000000" w:rsidR="00000000" w:rsidRPr="00000000">
              <w:rPr>
                <w:shd w:fill="8db3e2" w:val="clear"/>
                <w:rtl w:val="0"/>
              </w:rPr>
              <w:t xml:space="preserve">Функциональный модуль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0" w:firstLine="0"/>
              <w:contextualSpacing w:val="0"/>
            </w:pPr>
            <w:r w:rsidDel="00000000" w:rsidR="00000000" w:rsidRPr="00000000">
              <w:rPr>
                <w:shd w:fill="8db3e2" w:val="clear"/>
                <w:rtl w:val="0"/>
              </w:rPr>
              <w:t xml:space="preserve">Возможности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Управление взаимоотношениями с клиентами, CRM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Настройка управления продажами: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Разные бизнес-процессы продаж;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Несколько этапов продаж для каждого процесса;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Связанные процессы продаж (переодические продажи);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Планирование, назначение и фиксация задач по продажам: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Звонок;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Встреча, презентация;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Подготовка КП, документов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Заказ;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Другие;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Настройка ведение базы клиентов: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Статусы сделки;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Анкетные данные;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Ведение категорий клиентов;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Настройка заданий на исходящие звонки: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Холодный обзвон;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Звонок при приближении даты прогнозной продажи;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Предложение акций, особых условий, новой номенклатуры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Автоматическое формирование документов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Формирование документов по шаблону, с возможностью редактирования: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Коммерческие предложения;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Договора;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Закрывающие документы (счета, акты, накладные, ТТН, счета-фактуры)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Телефония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Настройка интеграции телефонной панели;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Настройка виртуальной АТС и подключение к SIP провайдеру;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Авто-создание событий (фиксация всех звонков в CRM);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Запись всех звонков и прослушивание их из 1С;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Маршруты звонков: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Прямое соединение с ответственным специалистом;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Перевод звонка на дежурного специалиста;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Переадресация звонка на другие номера;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Присоединение к разговору;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Суфлирование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Рассылки и уведомления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Напоминания сотрудникам о задачах;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SMS-уведомления: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Напоминания клиентов о событиях;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Поздравительные SMS:</w:t>
            </w:r>
          </w:p>
          <w:p w:rsidR="00000000" w:rsidDel="00000000" w:rsidP="00000000" w:rsidRDefault="00000000" w:rsidRPr="00000000">
            <w:pPr>
              <w:ind w:left="176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Дни рождения;</w:t>
            </w:r>
          </w:p>
          <w:p w:rsidR="00000000" w:rsidDel="00000000" w:rsidP="00000000" w:rsidRDefault="00000000" w:rsidRPr="00000000">
            <w:pPr>
              <w:ind w:left="176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Новый год;</w:t>
            </w:r>
          </w:p>
          <w:p w:rsidR="00000000" w:rsidDel="00000000" w:rsidP="00000000" w:rsidRDefault="00000000" w:rsidRPr="00000000">
            <w:pPr>
              <w:ind w:left="176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8 марта, 23 февраля;</w:t>
            </w:r>
          </w:p>
          <w:p w:rsidR="00000000" w:rsidDel="00000000" w:rsidP="00000000" w:rsidRDefault="00000000" w:rsidRPr="00000000">
            <w:pPr>
              <w:ind w:left="176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Другие;</w:t>
            </w:r>
          </w:p>
          <w:p w:rsidR="00000000" w:rsidDel="00000000" w:rsidP="00000000" w:rsidRDefault="00000000" w:rsidRPr="00000000">
            <w:pPr>
              <w:ind w:left="1040" w:firstLine="0"/>
              <w:contextualSpacing w:val="0"/>
            </w:pPr>
            <w:r w:rsidDel="00000000" w:rsidR="00000000" w:rsidRPr="00000000">
              <w:rPr>
                <w:rFonts w:ascii="Courier New" w:cs="Courier New" w:eastAsia="Courier New" w:hAnsi="Courier New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Информация об акциях и новых предложениях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Отправка SMS-визитки при первом разговоре с клиентом, в один клик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4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Управление запасами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Номенклатурный справочник;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Загрузка прайс-листов от поставщиков (полуавтоматический режим);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Складской учет;</w:t>
            </w:r>
          </w:p>
          <w:p w:rsidR="00000000" w:rsidDel="00000000" w:rsidP="00000000" w:rsidRDefault="00000000" w:rsidRPr="00000000">
            <w:pPr>
              <w:ind w:left="320" w:firstLine="0"/>
              <w:contextualSpacing w:val="0"/>
            </w:pPr>
            <w:r w:rsidDel="00000000" w:rsidR="00000000" w:rsidRPr="00000000">
              <w:rPr>
                <w:rtl w:val="0"/>
              </w:rPr>
              <w:t xml:space="preserve">ü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  <w:t xml:space="preserve">Управление доставкой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Видеоинструкции на все. Должностные инструкции. Отдельная карточка со ссылками на все инструкции и регламенты.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Курсы валют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Менеджеру на рабочем столе нужен спидометр “сделан план или не сделан” в %.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Обязательный поля для заполнения (проработать).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История покупок в карточке покупателя.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Статусы клиента (лояльный/нелояльный, постоянный/непостоянный, интересуется/не интересуется новинками, b2b/b2c/дилер) и другие.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Инструкция по заполнению статусов (должны быть подсказки в интерфейсе системы, например значок вопроса)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Вывод рейтинга менеджеров (звонки и продажи) и сборщиках (процент собранных заказов и доп.работ) на плазму, в % выполнения плана.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Фиксировать время сборки заказа сборщиком. Нельзя начать собирать новый заказ, если не закрыт предыдущий (его надо или закрыть, или разукомплектовать, или приостановить (указать причину)).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Фиксировать просрочку сбора/отгрузки заказа. Появляется обязательное поле “Укажите причину просрочки”.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Правила упаковки номенклатур - подсказки комплектовщику как правильно упаковать. Видеоролики по упаковке.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Внутренние заказы на работу (получение товара, оптимизация полки, инвентаризация и т.п.).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Приоритеты на выполнение заказов.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Работа со скриптами. Назначать типы скриптов на разные типы звонков. Элементы уникальности предложения (детализировать).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Онлайн-консультант. Интеграция с ним.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 карточке звонков сделать вкладку “Справочная информация”, где собрать описание, видео, золотые звонки. Перед звонком - ознакомиться.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Нормативы. Подготовка к холодным звонкам (надо сильно заморочиться...).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При продажах рекомендовать дополнительные номенклатуры. Фиксировать. Каждая продажа происходит с предоставлением уникального предложения. Фиксировать.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Фиксировать запросы (дырки) от клиентов.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Отслеживание рекламы, маркетинговые отчеты, торговые отчеты.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Управление складскими запасами (не снижаемый остаток, автозаказ).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Интеграция с сайтом (выгрузка номенклатур на сайт, загрузка заказов).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Упрощенный вариант внутренних перемещений, реализаций, иных операций.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Мультивалютный учет (гривна, рубль, евро, злотые, юани, доллары...).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Цена от количества (мелкий опт, опт, средний, крупный опт)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Обязательные дела (проверка бумаги для принтера, уборка рабочего стола, проверить поставщика, проверить отчет и т.п.)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Особый интерфейс продаж для базара.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Идеально простой интерфейс.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