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B41" w:rsidRPr="00064B94" w:rsidRDefault="00341B41" w:rsidP="000E0F1B">
      <w:pPr>
        <w:jc w:val="center"/>
        <w:rPr>
          <w:rFonts w:ascii="Times New Roman" w:hAnsi="Times New Roman" w:cs="Times New Roman"/>
          <w:b/>
          <w:bCs/>
        </w:rPr>
      </w:pPr>
      <w:r w:rsidRPr="00064B94">
        <w:rPr>
          <w:rFonts w:ascii="Times New Roman" w:hAnsi="Times New Roman" w:cs="Times New Roman"/>
          <w:b/>
          <w:bCs/>
        </w:rPr>
        <w:t>Техническое задание на внесение корректировок в программу 1С (склад)</w:t>
      </w:r>
    </w:p>
    <w:p w:rsidR="00341B41" w:rsidRPr="00064B94" w:rsidRDefault="00341B41" w:rsidP="006F59DE">
      <w:pPr>
        <w:pStyle w:val="ConsPlusNormal"/>
        <w:spacing w:after="120"/>
        <w:jc w:val="both"/>
        <w:rPr>
          <w:sz w:val="22"/>
          <w:szCs w:val="22"/>
        </w:rPr>
      </w:pPr>
      <w:r w:rsidRPr="00064B94">
        <w:rPr>
          <w:sz w:val="22"/>
          <w:szCs w:val="22"/>
        </w:rPr>
        <w:t>1. В программе 1С (склад) необходимо обеспечить проведение бухгалтерских проводок в соответствии с Положением Банка России 448-П и Учетной политикой банка, а именно:</w:t>
      </w:r>
    </w:p>
    <w:p w:rsidR="00341B41" w:rsidRPr="00064B94" w:rsidRDefault="00341B41" w:rsidP="0050050C">
      <w:pPr>
        <w:pStyle w:val="ConsPlusNormal"/>
        <w:ind w:firstLine="540"/>
        <w:jc w:val="both"/>
        <w:rPr>
          <w:sz w:val="22"/>
          <w:szCs w:val="22"/>
        </w:rPr>
      </w:pPr>
      <w:r w:rsidRPr="00064B94">
        <w:rPr>
          <w:sz w:val="22"/>
          <w:szCs w:val="22"/>
        </w:rPr>
        <w:t>"При отражении переоценки основного средства банк использует способ уменьшения стоимости переоцениваемого объекта, отраженной на балансовом счете по учету основных средств на дату переоценки, на сумму накопленной амортизации и последующий пересчет ее до справедливой стоимости. При таком способе стоимость переоцениваемого объекта, отраженная на балансовом счете по учету основных средств после переоценки, равна его справедливой стоимости, а накопленная амортизация - нулю."</w:t>
      </w:r>
    </w:p>
    <w:p w:rsidR="00341B41" w:rsidRPr="00064B94" w:rsidRDefault="00341B41" w:rsidP="0050050C">
      <w:pPr>
        <w:pStyle w:val="ConsPlusNormal"/>
        <w:ind w:firstLine="540"/>
        <w:jc w:val="both"/>
        <w:rPr>
          <w:sz w:val="22"/>
          <w:szCs w:val="22"/>
        </w:rPr>
      </w:pPr>
      <w:r w:rsidRPr="00064B94">
        <w:rPr>
          <w:sz w:val="22"/>
          <w:szCs w:val="22"/>
          <w:lang w:val="en-US"/>
        </w:rPr>
        <w:t>Производятся следующие бухгалтерские проводки</w:t>
      </w:r>
      <w:r w:rsidRPr="00064B94">
        <w:rPr>
          <w:sz w:val="22"/>
          <w:szCs w:val="22"/>
        </w:rPr>
        <w:t xml:space="preserve"> :</w:t>
      </w:r>
    </w:p>
    <w:tbl>
      <w:tblPr>
        <w:tblW w:w="0" w:type="auto"/>
        <w:tblInd w:w="-13" w:type="dxa"/>
        <w:tblBorders>
          <w:top w:val="single" w:sz="4" w:space="0" w:color="7B68EE"/>
          <w:left w:val="single" w:sz="4" w:space="0" w:color="7B68EE"/>
          <w:bottom w:val="single" w:sz="4" w:space="0" w:color="7B68EE"/>
          <w:right w:val="single" w:sz="4" w:space="0" w:color="7B68EE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227"/>
        <w:gridCol w:w="645"/>
        <w:gridCol w:w="645"/>
        <w:gridCol w:w="5593"/>
      </w:tblGrid>
      <w:tr w:rsidR="00341B41" w:rsidRPr="00064B94" w:rsidTr="0020319F">
        <w:trPr>
          <w:trHeight w:val="2519"/>
        </w:trPr>
        <w:tc>
          <w:tcPr>
            <w:tcW w:w="1500" w:type="pct"/>
            <w:tcBorders>
              <w:top w:val="single" w:sz="4" w:space="0" w:color="7B68EE"/>
            </w:tcBorders>
            <w:shd w:val="clear" w:color="auto" w:fill="F8F8F8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r w:rsidRPr="00064B94">
              <w:rPr>
                <w:rFonts w:ascii="Times New Roman" w:hAnsi="Times New Roman" w:cs="Times New Roman"/>
                <w:color w:val="333333"/>
                <w:lang w:eastAsia="ru-RU"/>
              </w:rPr>
              <w:t>Отражение переоценки путём уменьшения стоимости объекта на сумму накопленной амортизации и последующем пересчете ее до справедливой стоимости</w:t>
            </w:r>
          </w:p>
        </w:tc>
        <w:tc>
          <w:tcPr>
            <w:tcW w:w="300" w:type="pct"/>
            <w:tcBorders>
              <w:top w:val="single" w:sz="4" w:space="0" w:color="7B68EE"/>
            </w:tcBorders>
            <w:shd w:val="clear" w:color="auto" w:fill="F8F8F8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7B68EE"/>
            </w:tcBorders>
            <w:shd w:val="clear" w:color="auto" w:fill="F8F8F8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2600" w:type="pct"/>
            <w:tcBorders>
              <w:top w:val="single" w:sz="4" w:space="0" w:color="7B68EE"/>
            </w:tcBorders>
            <w:shd w:val="clear" w:color="auto" w:fill="F8F8F8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r w:rsidRPr="00064B94">
              <w:rPr>
                <w:rFonts w:ascii="Times New Roman" w:hAnsi="Times New Roman" w:cs="Times New Roman"/>
                <w:color w:val="333333"/>
                <w:lang w:eastAsia="ru-RU"/>
              </w:rPr>
              <w:t>Суть способа:</w:t>
            </w:r>
            <w:r w:rsidRPr="00064B94">
              <w:rPr>
                <w:rFonts w:ascii="Times New Roman" w:hAnsi="Times New Roman" w:cs="Times New Roman"/>
                <w:color w:val="333333"/>
                <w:lang w:eastAsia="ru-RU"/>
              </w:rPr>
              <w:br/>
              <w:t>уменьшение стоимости переоцениваемого объекта, отраженной на балансовом счете по учету основных средств на дату переоценки, на сумму накопленной амортизации и последующий пересчет ее до справедливой стоимости.</w:t>
            </w:r>
            <w:r w:rsidRPr="00064B94">
              <w:rPr>
                <w:rFonts w:ascii="Times New Roman" w:hAnsi="Times New Roman" w:cs="Times New Roman"/>
                <w:color w:val="333333"/>
                <w:lang w:eastAsia="ru-RU"/>
              </w:rPr>
              <w:br/>
              <w:t>При таком способе стоимость переоцениваемого объекта, отраженная на балансовом счете по учету основных средств после переоценки, равна его справедливой стоимости, а накопленная амортизация - нулю.</w:t>
            </w:r>
          </w:p>
        </w:tc>
      </w:tr>
      <w:tr w:rsidR="00341B41" w:rsidRPr="00064B94" w:rsidTr="0020319F">
        <w:trPr>
          <w:trHeight w:val="837"/>
        </w:trPr>
        <w:tc>
          <w:tcPr>
            <w:tcW w:w="1500" w:type="pct"/>
            <w:shd w:val="clear" w:color="auto" w:fill="ECECEC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r w:rsidRPr="00064B94">
              <w:rPr>
                <w:rFonts w:ascii="Times New Roman" w:hAnsi="Times New Roman" w:cs="Times New Roman"/>
                <w:color w:val="333333"/>
                <w:lang w:eastAsia="ru-RU"/>
              </w:rPr>
              <w:t>Уменьшение стоимости переоцениваемого объекта на сумму накопленной амортизации</w:t>
            </w:r>
          </w:p>
        </w:tc>
        <w:tc>
          <w:tcPr>
            <w:tcW w:w="300" w:type="pct"/>
            <w:shd w:val="clear" w:color="auto" w:fill="ECECEC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hyperlink r:id="rId4" w:anchor="60414" w:history="1">
              <w:r w:rsidRPr="00064B94">
                <w:rPr>
                  <w:rFonts w:ascii="Times New Roman" w:hAnsi="Times New Roman" w:cs="Times New Roman"/>
                  <w:color w:val="0000FF"/>
                  <w:u w:val="single"/>
                  <w:lang w:eastAsia="ru-RU"/>
                </w:rPr>
                <w:t>60414</w:t>
              </w:r>
            </w:hyperlink>
          </w:p>
        </w:tc>
        <w:tc>
          <w:tcPr>
            <w:tcW w:w="300" w:type="pct"/>
            <w:shd w:val="clear" w:color="auto" w:fill="ECECEC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hyperlink r:id="rId5" w:anchor="60401" w:history="1">
              <w:r w:rsidRPr="00064B94">
                <w:rPr>
                  <w:rFonts w:ascii="Times New Roman" w:hAnsi="Times New Roman" w:cs="Times New Roman"/>
                  <w:color w:val="0000FF"/>
                  <w:u w:val="single"/>
                  <w:lang w:eastAsia="ru-RU"/>
                </w:rPr>
                <w:t>60401</w:t>
              </w:r>
            </w:hyperlink>
          </w:p>
        </w:tc>
        <w:tc>
          <w:tcPr>
            <w:tcW w:w="2600" w:type="pct"/>
            <w:shd w:val="clear" w:color="auto" w:fill="ECECEC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r w:rsidRPr="00064B94">
              <w:rPr>
                <w:rFonts w:ascii="Times New Roman" w:hAnsi="Times New Roman" w:cs="Times New Roman"/>
                <w:color w:val="333333"/>
                <w:lang w:eastAsia="ru-RU"/>
              </w:rPr>
              <w:t>- на сумму накопленной амортизации.</w:t>
            </w:r>
          </w:p>
        </w:tc>
      </w:tr>
      <w:tr w:rsidR="00341B41" w:rsidRPr="00064B94">
        <w:tc>
          <w:tcPr>
            <w:tcW w:w="1500" w:type="pct"/>
            <w:shd w:val="clear" w:color="auto" w:fill="F8F8F8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r w:rsidRPr="00064B94">
              <w:rPr>
                <w:rFonts w:ascii="Times New Roman" w:hAnsi="Times New Roman" w:cs="Times New Roman"/>
                <w:color w:val="333333"/>
                <w:lang w:eastAsia="ru-RU"/>
              </w:rPr>
              <w:t>Увеличение стоимости объекта основных средств в результате переоценки</w:t>
            </w:r>
          </w:p>
        </w:tc>
        <w:tc>
          <w:tcPr>
            <w:tcW w:w="300" w:type="pct"/>
            <w:shd w:val="clear" w:color="auto" w:fill="F8F8F8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hyperlink r:id="rId6" w:anchor="60401" w:history="1">
              <w:r w:rsidRPr="00064B94">
                <w:rPr>
                  <w:rFonts w:ascii="Times New Roman" w:hAnsi="Times New Roman" w:cs="Times New Roman"/>
                  <w:color w:val="0000FF"/>
                  <w:u w:val="single"/>
                  <w:lang w:eastAsia="ru-RU"/>
                </w:rPr>
                <w:t>60401</w:t>
              </w:r>
            </w:hyperlink>
          </w:p>
        </w:tc>
        <w:tc>
          <w:tcPr>
            <w:tcW w:w="300" w:type="pct"/>
            <w:shd w:val="clear" w:color="auto" w:fill="F8F8F8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hyperlink r:id="rId7" w:anchor="10601" w:history="1">
              <w:r w:rsidRPr="00064B94">
                <w:rPr>
                  <w:rFonts w:ascii="Times New Roman" w:hAnsi="Times New Roman" w:cs="Times New Roman"/>
                  <w:color w:val="0000FF"/>
                  <w:u w:val="single"/>
                  <w:lang w:eastAsia="ru-RU"/>
                </w:rPr>
                <w:t>10601</w:t>
              </w:r>
            </w:hyperlink>
          </w:p>
        </w:tc>
        <w:tc>
          <w:tcPr>
            <w:tcW w:w="2600" w:type="pct"/>
            <w:shd w:val="clear" w:color="auto" w:fill="F8F8F8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r w:rsidRPr="00064B94">
              <w:rPr>
                <w:rFonts w:ascii="Times New Roman" w:hAnsi="Times New Roman" w:cs="Times New Roman"/>
                <w:color w:val="333333"/>
                <w:lang w:eastAsia="ru-RU"/>
              </w:rPr>
              <w:t xml:space="preserve">- увеличение стоимости объекта основных средств, числящегося на балансе кредитной организации, в результате переоценки </w:t>
            </w:r>
          </w:p>
        </w:tc>
      </w:tr>
      <w:tr w:rsidR="00341B41" w:rsidRPr="00064B94">
        <w:tc>
          <w:tcPr>
            <w:tcW w:w="1500" w:type="pct"/>
            <w:shd w:val="clear" w:color="auto" w:fill="ECECEC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r w:rsidRPr="00064B94">
              <w:rPr>
                <w:rFonts w:ascii="Times New Roman" w:hAnsi="Times New Roman" w:cs="Times New Roman"/>
                <w:color w:val="333333"/>
                <w:lang w:eastAsia="ru-RU"/>
              </w:rPr>
              <w:t>Уценка (уменьшение стоимости) объекта основных средств</w:t>
            </w:r>
          </w:p>
        </w:tc>
        <w:tc>
          <w:tcPr>
            <w:tcW w:w="300" w:type="pct"/>
            <w:shd w:val="clear" w:color="auto" w:fill="ECECEC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hyperlink r:id="rId8" w:anchor="10601" w:history="1">
              <w:r w:rsidRPr="00064B94">
                <w:rPr>
                  <w:rFonts w:ascii="Times New Roman" w:hAnsi="Times New Roman" w:cs="Times New Roman"/>
                  <w:color w:val="0000FF"/>
                  <w:u w:val="single"/>
                  <w:lang w:eastAsia="ru-RU"/>
                </w:rPr>
                <w:t>10601</w:t>
              </w:r>
            </w:hyperlink>
          </w:p>
        </w:tc>
        <w:tc>
          <w:tcPr>
            <w:tcW w:w="300" w:type="pct"/>
            <w:shd w:val="clear" w:color="auto" w:fill="ECECEC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hyperlink r:id="rId9" w:anchor="60401" w:history="1">
              <w:r w:rsidRPr="00064B94">
                <w:rPr>
                  <w:rFonts w:ascii="Times New Roman" w:hAnsi="Times New Roman" w:cs="Times New Roman"/>
                  <w:color w:val="0000FF"/>
                  <w:u w:val="single"/>
                  <w:lang w:eastAsia="ru-RU"/>
                </w:rPr>
                <w:t>60401</w:t>
              </w:r>
            </w:hyperlink>
          </w:p>
        </w:tc>
        <w:tc>
          <w:tcPr>
            <w:tcW w:w="2600" w:type="pct"/>
            <w:shd w:val="clear" w:color="auto" w:fill="ECECEC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r w:rsidRPr="00064B94">
              <w:rPr>
                <w:rFonts w:ascii="Times New Roman" w:hAnsi="Times New Roman" w:cs="Times New Roman"/>
                <w:color w:val="333333"/>
                <w:lang w:eastAsia="ru-RU"/>
              </w:rPr>
              <w:t>- уценка (уменьшение стоимости) объекта основных средств, числящегося на балансе кредитной организации, в результате переоценки</w:t>
            </w:r>
          </w:p>
        </w:tc>
      </w:tr>
      <w:tr w:rsidR="00341B41" w:rsidRPr="00064B94">
        <w:tc>
          <w:tcPr>
            <w:tcW w:w="1500" w:type="pct"/>
            <w:shd w:val="clear" w:color="auto" w:fill="F8F8F8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r w:rsidRPr="00064B94">
              <w:rPr>
                <w:rFonts w:ascii="Times New Roman" w:hAnsi="Times New Roman" w:cs="Times New Roman"/>
                <w:color w:val="333333"/>
                <w:lang w:eastAsia="ru-RU"/>
              </w:rPr>
              <w:t>Отражение расходов при уценке объекта основных средств</w:t>
            </w:r>
          </w:p>
        </w:tc>
        <w:tc>
          <w:tcPr>
            <w:tcW w:w="300" w:type="pct"/>
            <w:shd w:val="clear" w:color="auto" w:fill="F8F8F8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hyperlink r:id="rId10" w:anchor="70606" w:history="1">
              <w:r w:rsidRPr="00064B94">
                <w:rPr>
                  <w:rFonts w:ascii="Times New Roman" w:hAnsi="Times New Roman" w:cs="Times New Roman"/>
                  <w:color w:val="0000FF"/>
                  <w:u w:val="single"/>
                  <w:lang w:eastAsia="ru-RU"/>
                </w:rPr>
                <w:t>70606</w:t>
              </w:r>
            </w:hyperlink>
          </w:p>
        </w:tc>
        <w:tc>
          <w:tcPr>
            <w:tcW w:w="300" w:type="pct"/>
            <w:shd w:val="clear" w:color="auto" w:fill="F8F8F8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hyperlink r:id="rId11" w:anchor="60401" w:history="1">
              <w:r w:rsidRPr="00064B94">
                <w:rPr>
                  <w:rFonts w:ascii="Times New Roman" w:hAnsi="Times New Roman" w:cs="Times New Roman"/>
                  <w:color w:val="0000FF"/>
                  <w:u w:val="single"/>
                  <w:lang w:eastAsia="ru-RU"/>
                </w:rPr>
                <w:t>60401</w:t>
              </w:r>
            </w:hyperlink>
          </w:p>
        </w:tc>
        <w:tc>
          <w:tcPr>
            <w:tcW w:w="2600" w:type="pct"/>
            <w:shd w:val="clear" w:color="auto" w:fill="F8F8F8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r w:rsidRPr="00064B94">
              <w:rPr>
                <w:rFonts w:ascii="Times New Roman" w:hAnsi="Times New Roman" w:cs="Times New Roman"/>
                <w:color w:val="333333"/>
                <w:lang w:eastAsia="ru-RU"/>
              </w:rPr>
              <w:t>- на сумму превышения в случае, если сумма уценки объекта превышает остаток на лицевом счете по учету прироста стоимости основных средств при переоценке (с учетом ранее проводившихся дооценок)</w:t>
            </w:r>
          </w:p>
        </w:tc>
      </w:tr>
      <w:tr w:rsidR="00341B41" w:rsidRPr="00064B94" w:rsidTr="0020319F">
        <w:trPr>
          <w:trHeight w:val="410"/>
        </w:trPr>
        <w:tc>
          <w:tcPr>
            <w:tcW w:w="1500" w:type="pct"/>
            <w:tcBorders>
              <w:bottom w:val="single" w:sz="4" w:space="0" w:color="7B68EE"/>
            </w:tcBorders>
            <w:shd w:val="clear" w:color="auto" w:fill="ADEDE9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r w:rsidRPr="00064B94">
              <w:rPr>
                <w:rFonts w:ascii="Times New Roman" w:hAnsi="Times New Roman" w:cs="Times New Roman"/>
                <w:color w:val="333333"/>
                <w:lang w:eastAsia="ru-RU"/>
              </w:rPr>
              <w:t>Отражение доходов в случае, когда в результате последующей переоценки происходит дооценка объекта основных средств</w:t>
            </w:r>
          </w:p>
        </w:tc>
        <w:tc>
          <w:tcPr>
            <w:tcW w:w="300" w:type="pct"/>
            <w:tcBorders>
              <w:bottom w:val="single" w:sz="4" w:space="0" w:color="7B68EE"/>
            </w:tcBorders>
            <w:shd w:val="clear" w:color="auto" w:fill="ADEDE9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hyperlink r:id="rId12" w:anchor="60401" w:history="1">
              <w:r w:rsidRPr="00064B94">
                <w:rPr>
                  <w:rFonts w:ascii="Times New Roman" w:hAnsi="Times New Roman" w:cs="Times New Roman"/>
                  <w:color w:val="0000FF"/>
                  <w:u w:val="single"/>
                  <w:lang w:eastAsia="ru-RU"/>
                </w:rPr>
                <w:t>60401</w:t>
              </w:r>
            </w:hyperlink>
          </w:p>
        </w:tc>
        <w:tc>
          <w:tcPr>
            <w:tcW w:w="300" w:type="pct"/>
            <w:tcBorders>
              <w:bottom w:val="single" w:sz="4" w:space="0" w:color="7B68EE"/>
            </w:tcBorders>
            <w:shd w:val="clear" w:color="auto" w:fill="ADEDE9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hyperlink r:id="rId13" w:anchor="70601" w:history="1">
              <w:r w:rsidRPr="00064B94">
                <w:rPr>
                  <w:rFonts w:ascii="Times New Roman" w:hAnsi="Times New Roman" w:cs="Times New Roman"/>
                  <w:color w:val="0000FF"/>
                  <w:u w:val="single"/>
                  <w:lang w:eastAsia="ru-RU"/>
                </w:rPr>
                <w:t>70601</w:t>
              </w:r>
            </w:hyperlink>
          </w:p>
        </w:tc>
        <w:tc>
          <w:tcPr>
            <w:tcW w:w="2600" w:type="pct"/>
            <w:tcBorders>
              <w:bottom w:val="single" w:sz="4" w:space="0" w:color="7B68EE"/>
            </w:tcBorders>
            <w:shd w:val="clear" w:color="auto" w:fill="ADEDE9"/>
          </w:tcPr>
          <w:p w:rsidR="00341B41" w:rsidRPr="00064B94" w:rsidRDefault="00341B41" w:rsidP="002B0291">
            <w:pPr>
              <w:spacing w:before="100" w:beforeAutospacing="1" w:after="376" w:line="240" w:lineRule="auto"/>
              <w:rPr>
                <w:rFonts w:ascii="Times New Roman" w:hAnsi="Times New Roman" w:cs="Times New Roman"/>
                <w:color w:val="333333"/>
                <w:lang w:eastAsia="ru-RU"/>
              </w:rPr>
            </w:pPr>
            <w:r w:rsidRPr="00064B94">
              <w:rPr>
                <w:rFonts w:ascii="Times New Roman" w:hAnsi="Times New Roman" w:cs="Times New Roman"/>
                <w:color w:val="333333"/>
                <w:lang w:eastAsia="ru-RU"/>
              </w:rPr>
              <w:t xml:space="preserve">- на сумму дооценки, равную сумме уценки объекта, проведенной в предыдущие отчетные периоды и отнесенной на расходы </w:t>
            </w:r>
          </w:p>
        </w:tc>
      </w:tr>
    </w:tbl>
    <w:p w:rsidR="00341B41" w:rsidRPr="00064B94" w:rsidRDefault="00341B41" w:rsidP="0050050C">
      <w:pPr>
        <w:pStyle w:val="ConsPlusNormal"/>
        <w:ind w:firstLine="540"/>
        <w:jc w:val="both"/>
        <w:rPr>
          <w:sz w:val="22"/>
          <w:szCs w:val="22"/>
        </w:rPr>
      </w:pPr>
    </w:p>
    <w:p w:rsidR="00341B41" w:rsidRDefault="00341B41" w:rsidP="00064B94">
      <w:pPr>
        <w:pStyle w:val="ConsPlusNormal"/>
        <w:spacing w:after="120"/>
        <w:jc w:val="both"/>
        <w:rPr>
          <w:b/>
          <w:bCs/>
          <w:sz w:val="22"/>
          <w:szCs w:val="22"/>
        </w:rPr>
      </w:pPr>
      <w:r w:rsidRPr="00064B94">
        <w:rPr>
          <w:b/>
          <w:bCs/>
          <w:sz w:val="22"/>
          <w:szCs w:val="22"/>
        </w:rPr>
        <w:t>2. Начисление аммортизации в налоговом учете остается по старому.</w:t>
      </w:r>
    </w:p>
    <w:p w:rsidR="00341B41" w:rsidRDefault="00341B41" w:rsidP="00064B94">
      <w:pPr>
        <w:pStyle w:val="ConsPlusNormal"/>
        <w:spacing w:after="120"/>
        <w:jc w:val="both"/>
        <w:rPr>
          <w:sz w:val="22"/>
          <w:szCs w:val="22"/>
        </w:rPr>
      </w:pPr>
    </w:p>
    <w:p w:rsidR="00341B41" w:rsidRPr="0020319F" w:rsidRDefault="00341B41" w:rsidP="00064B94">
      <w:pPr>
        <w:pStyle w:val="ConsPlusNormal"/>
        <w:spacing w:after="120"/>
        <w:jc w:val="both"/>
        <w:rPr>
          <w:i/>
          <w:iCs/>
          <w:sz w:val="22"/>
          <w:szCs w:val="22"/>
        </w:rPr>
      </w:pPr>
      <w:r w:rsidRPr="0020319F">
        <w:rPr>
          <w:i/>
          <w:iCs/>
          <w:sz w:val="22"/>
          <w:szCs w:val="22"/>
        </w:rPr>
        <w:t xml:space="preserve">Для справки:  </w:t>
      </w:r>
    </w:p>
    <w:p w:rsidR="00341B41" w:rsidRPr="0020319F" w:rsidRDefault="00341B41" w:rsidP="00064B94">
      <w:pPr>
        <w:pStyle w:val="ConsPlusNormal"/>
        <w:spacing w:after="120"/>
        <w:jc w:val="both"/>
        <w:rPr>
          <w:sz w:val="22"/>
          <w:szCs w:val="22"/>
        </w:rPr>
      </w:pPr>
      <w:r w:rsidRPr="0020319F">
        <w:rPr>
          <w:color w:val="0000FF"/>
          <w:sz w:val="22"/>
          <w:szCs w:val="22"/>
        </w:rPr>
        <w:t>60414</w:t>
      </w:r>
      <w:r>
        <w:rPr>
          <w:sz w:val="22"/>
          <w:szCs w:val="22"/>
        </w:rPr>
        <w:t>.</w:t>
      </w:r>
      <w:r>
        <w:rPr>
          <w:sz w:val="22"/>
          <w:szCs w:val="22"/>
          <w:lang w:val="en-US"/>
        </w:rPr>
        <w:t>X</w:t>
      </w:r>
      <w:r w:rsidRPr="0020319F">
        <w:rPr>
          <w:sz w:val="22"/>
          <w:szCs w:val="22"/>
        </w:rPr>
        <w:t xml:space="preserve"> – </w:t>
      </w:r>
      <w:r>
        <w:rPr>
          <w:sz w:val="22"/>
          <w:szCs w:val="22"/>
        </w:rPr>
        <w:t>счет амортизации</w:t>
      </w:r>
    </w:p>
    <w:p w:rsidR="00341B41" w:rsidRDefault="00341B41" w:rsidP="0020319F">
      <w:pPr>
        <w:pStyle w:val="ConsPlusNormal"/>
        <w:spacing w:after="120"/>
        <w:jc w:val="both"/>
        <w:rPr>
          <w:sz w:val="22"/>
          <w:szCs w:val="22"/>
        </w:rPr>
      </w:pPr>
      <w:r w:rsidRPr="0020319F">
        <w:rPr>
          <w:color w:val="0000FF"/>
          <w:sz w:val="22"/>
          <w:szCs w:val="22"/>
        </w:rPr>
        <w:t>60401</w:t>
      </w:r>
      <w:r>
        <w:rPr>
          <w:sz w:val="22"/>
          <w:szCs w:val="22"/>
        </w:rPr>
        <w:t>.</w:t>
      </w:r>
      <w:r>
        <w:rPr>
          <w:sz w:val="22"/>
          <w:szCs w:val="22"/>
          <w:lang w:val="en-US"/>
        </w:rPr>
        <w:t>X</w:t>
      </w:r>
      <w:r w:rsidRPr="0020319F">
        <w:rPr>
          <w:sz w:val="22"/>
          <w:szCs w:val="22"/>
        </w:rPr>
        <w:t xml:space="preserve"> – </w:t>
      </w:r>
      <w:r>
        <w:rPr>
          <w:sz w:val="22"/>
          <w:szCs w:val="22"/>
        </w:rPr>
        <w:t>счет учета ОС</w:t>
      </w:r>
    </w:p>
    <w:p w:rsidR="00341B41" w:rsidRDefault="00341B41" w:rsidP="0020319F">
      <w:pPr>
        <w:pStyle w:val="ConsPlusNormal"/>
        <w:spacing w:after="120"/>
        <w:jc w:val="both"/>
        <w:rPr>
          <w:sz w:val="22"/>
          <w:szCs w:val="22"/>
        </w:rPr>
      </w:pPr>
      <w:r w:rsidRPr="0020319F">
        <w:rPr>
          <w:color w:val="0000FF"/>
          <w:sz w:val="22"/>
          <w:szCs w:val="22"/>
        </w:rPr>
        <w:t>70606</w:t>
      </w:r>
      <w:r>
        <w:rPr>
          <w:sz w:val="22"/>
          <w:szCs w:val="22"/>
        </w:rPr>
        <w:t xml:space="preserve"> – счет затрат</w:t>
      </w:r>
    </w:p>
    <w:p w:rsidR="00341B41" w:rsidRDefault="00341B41" w:rsidP="0020319F">
      <w:pPr>
        <w:pStyle w:val="ConsPlusNormal"/>
        <w:spacing w:after="120"/>
        <w:jc w:val="both"/>
        <w:rPr>
          <w:sz w:val="22"/>
          <w:szCs w:val="22"/>
        </w:rPr>
      </w:pPr>
      <w:r w:rsidRPr="0020319F">
        <w:rPr>
          <w:color w:val="0000FF"/>
          <w:sz w:val="22"/>
          <w:szCs w:val="22"/>
        </w:rPr>
        <w:t>10601</w:t>
      </w:r>
      <w:r>
        <w:rPr>
          <w:sz w:val="22"/>
          <w:szCs w:val="22"/>
        </w:rPr>
        <w:t xml:space="preserve"> – счет </w:t>
      </w:r>
      <w:r w:rsidRPr="0020319F">
        <w:rPr>
          <w:sz w:val="22"/>
          <w:szCs w:val="22"/>
        </w:rPr>
        <w:t>Спецфонд по переоценке</w:t>
      </w:r>
    </w:p>
    <w:p w:rsidR="00341B41" w:rsidRPr="0020319F" w:rsidRDefault="00341B41" w:rsidP="0020319F">
      <w:pPr>
        <w:pStyle w:val="ConsPlusNormal"/>
        <w:spacing w:after="120"/>
        <w:jc w:val="both"/>
        <w:rPr>
          <w:sz w:val="22"/>
          <w:szCs w:val="22"/>
        </w:rPr>
      </w:pPr>
      <w:r w:rsidRPr="0020319F">
        <w:rPr>
          <w:color w:val="0000FF"/>
          <w:sz w:val="22"/>
          <w:szCs w:val="22"/>
        </w:rPr>
        <w:t>70601</w:t>
      </w:r>
      <w:r>
        <w:rPr>
          <w:sz w:val="22"/>
          <w:szCs w:val="22"/>
        </w:rPr>
        <w:t xml:space="preserve"> – счет прочие доходы</w:t>
      </w:r>
    </w:p>
    <w:p w:rsidR="00341B41" w:rsidRPr="0020319F" w:rsidRDefault="00341B41" w:rsidP="00064B94">
      <w:pPr>
        <w:pStyle w:val="ConsPlusNormal"/>
        <w:spacing w:after="120"/>
        <w:jc w:val="both"/>
        <w:rPr>
          <w:sz w:val="22"/>
          <w:szCs w:val="22"/>
        </w:rPr>
      </w:pPr>
    </w:p>
    <w:sectPr w:rsidR="00341B41" w:rsidRPr="0020319F" w:rsidSect="0020319F">
      <w:pgSz w:w="11906" w:h="16838"/>
      <w:pgMar w:top="539" w:right="746" w:bottom="71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0F1B"/>
    <w:rsid w:val="00061E94"/>
    <w:rsid w:val="00064B94"/>
    <w:rsid w:val="00090D9E"/>
    <w:rsid w:val="000C6D13"/>
    <w:rsid w:val="000E0F1B"/>
    <w:rsid w:val="0017193D"/>
    <w:rsid w:val="001C5040"/>
    <w:rsid w:val="0020319F"/>
    <w:rsid w:val="00253DF7"/>
    <w:rsid w:val="00283072"/>
    <w:rsid w:val="002B0291"/>
    <w:rsid w:val="002B7BCB"/>
    <w:rsid w:val="002E3673"/>
    <w:rsid w:val="00311188"/>
    <w:rsid w:val="00341B41"/>
    <w:rsid w:val="00393700"/>
    <w:rsid w:val="003A23FC"/>
    <w:rsid w:val="003A4EF1"/>
    <w:rsid w:val="003A560E"/>
    <w:rsid w:val="003D1CF7"/>
    <w:rsid w:val="00425DD3"/>
    <w:rsid w:val="00452943"/>
    <w:rsid w:val="004A6E66"/>
    <w:rsid w:val="004F1736"/>
    <w:rsid w:val="0050050C"/>
    <w:rsid w:val="00530445"/>
    <w:rsid w:val="005A6F89"/>
    <w:rsid w:val="006139EB"/>
    <w:rsid w:val="00622DFA"/>
    <w:rsid w:val="006A0311"/>
    <w:rsid w:val="006A603D"/>
    <w:rsid w:val="006E6443"/>
    <w:rsid w:val="006F59DE"/>
    <w:rsid w:val="007D0546"/>
    <w:rsid w:val="007E221E"/>
    <w:rsid w:val="00806CB8"/>
    <w:rsid w:val="00845904"/>
    <w:rsid w:val="00874EAF"/>
    <w:rsid w:val="008C3AAF"/>
    <w:rsid w:val="008F22AA"/>
    <w:rsid w:val="00954FFE"/>
    <w:rsid w:val="00970775"/>
    <w:rsid w:val="00A713CB"/>
    <w:rsid w:val="00A83609"/>
    <w:rsid w:val="00AB2C86"/>
    <w:rsid w:val="00B15998"/>
    <w:rsid w:val="00B344CE"/>
    <w:rsid w:val="00B90548"/>
    <w:rsid w:val="00B96BB7"/>
    <w:rsid w:val="00BA34F2"/>
    <w:rsid w:val="00BD2450"/>
    <w:rsid w:val="00C0366E"/>
    <w:rsid w:val="00C465B4"/>
    <w:rsid w:val="00C828AF"/>
    <w:rsid w:val="00D41866"/>
    <w:rsid w:val="00D610E4"/>
    <w:rsid w:val="00D61494"/>
    <w:rsid w:val="00E42B8B"/>
    <w:rsid w:val="00E541FA"/>
    <w:rsid w:val="00F156A1"/>
    <w:rsid w:val="00F2794C"/>
    <w:rsid w:val="00F530EC"/>
    <w:rsid w:val="00F53F0E"/>
    <w:rsid w:val="00F66EEE"/>
    <w:rsid w:val="00F7588C"/>
    <w:rsid w:val="00FE105D"/>
    <w:rsid w:val="00FE7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99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A603D"/>
    <w:pPr>
      <w:autoSpaceDE w:val="0"/>
      <w:autoSpaceDN w:val="0"/>
      <w:adjustRightInd w:val="0"/>
    </w:pPr>
    <w:rPr>
      <w:rFonts w:cs="Calibri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semiHidden/>
    <w:rsid w:val="002B0291"/>
    <w:rPr>
      <w:color w:val="0000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16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H:\app\bkb\content\385_ps_2016\102_109_385_2016.htm" TargetMode="External"/><Relationship Id="rId13" Type="http://schemas.openxmlformats.org/officeDocument/2006/relationships/hyperlink" Target="file:///H:\app\bkb\content\385_ps_2016\706_708_385_2016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H:\app\bkb\content\385_ps_2016\102_109_385_2016.htm" TargetMode="External"/><Relationship Id="rId12" Type="http://schemas.openxmlformats.org/officeDocument/2006/relationships/hyperlink" Target="file:///H:\app\bkb\content\385_ps_2016\604_612_385_2016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H:\app\bkb\content\385_ps_2016\604_612_385_2016.htm" TargetMode="External"/><Relationship Id="rId11" Type="http://schemas.openxmlformats.org/officeDocument/2006/relationships/hyperlink" Target="file:///H:\app\bkb\content\385_ps_2016\604_612_385_2016.htm" TargetMode="External"/><Relationship Id="rId5" Type="http://schemas.openxmlformats.org/officeDocument/2006/relationships/hyperlink" Target="file:///H:\app\bkb\content\385_ps_2016\604_612_385_2016.htm" TargetMode="External"/><Relationship Id="rId15" Type="http://schemas.openxmlformats.org/officeDocument/2006/relationships/theme" Target="theme/theme1.xml"/><Relationship Id="rId10" Type="http://schemas.openxmlformats.org/officeDocument/2006/relationships/hyperlink" Target="file:///H:\app\bkb\content\385_ps_2016\706_708_385_2016.htm" TargetMode="External"/><Relationship Id="rId4" Type="http://schemas.openxmlformats.org/officeDocument/2006/relationships/hyperlink" Target="file:///H:\app\bkb\content\385_ps_2016\604_612_385_2016.htm" TargetMode="External"/><Relationship Id="rId9" Type="http://schemas.openxmlformats.org/officeDocument/2006/relationships/hyperlink" Target="file:///H:\app\bkb\content\385_ps_2016\604_612_385_2016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2</Pages>
  <Words>520</Words>
  <Characters>2966</Characters>
  <Application>Microsoft Office Outlook</Application>
  <DocSecurity>0</DocSecurity>
  <Lines>0</Lines>
  <Paragraphs>0</Paragraphs>
  <ScaleCrop>false</ScaleCrop>
  <Company>My 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внесение корректировок в программу 1С (склад)</dc:title>
  <dc:subject/>
  <dc:creator>Артемова Екатерина Андреевна</dc:creator>
  <cp:keywords/>
  <dc:description/>
  <cp:lastModifiedBy>Smooth</cp:lastModifiedBy>
  <cp:revision>7</cp:revision>
  <dcterms:created xsi:type="dcterms:W3CDTF">2017-02-22T13:09:00Z</dcterms:created>
  <dcterms:modified xsi:type="dcterms:W3CDTF">2017-02-22T21:01:00Z</dcterms:modified>
</cp:coreProperties>
</file>