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8" w:rsidRDefault="001E2698">
      <w:r>
        <w:t>Оба отчета можно сделать в одной обработке</w:t>
      </w:r>
      <w:r w:rsidR="00A1057B">
        <w:t>, но сохранять их разными файлами</w:t>
      </w:r>
    </w:p>
    <w:p w:rsidR="00A1057B" w:rsidRDefault="00A1057B"/>
    <w:p w:rsidR="001E2698" w:rsidRDefault="001E2698">
      <w:pPr>
        <w:rPr>
          <w:b/>
          <w:u w:val="single"/>
        </w:rPr>
      </w:pPr>
      <w:r w:rsidRPr="00A1057B">
        <w:rPr>
          <w:b/>
          <w:u w:val="single"/>
        </w:rPr>
        <w:t>Отчет №1</w:t>
      </w:r>
    </w:p>
    <w:p w:rsidR="00A626A9" w:rsidRDefault="00A626A9">
      <w:pPr>
        <w:rPr>
          <w:b/>
          <w:u w:val="single"/>
        </w:rPr>
      </w:pPr>
    </w:p>
    <w:p w:rsidR="000E075A" w:rsidRPr="000E075A" w:rsidRDefault="000E075A">
      <w:r>
        <w:t xml:space="preserve">Отчет всегда делается за календарный месяц. Его надо сохранять с названием – </w:t>
      </w:r>
      <w:r w:rsidRPr="000E075A">
        <w:t>STT_Sell_Out_092020</w:t>
      </w:r>
      <w:r>
        <w:t>, где 09 – месяц отчета, а 2020 год отчета.</w:t>
      </w:r>
    </w:p>
    <w:p w:rsidR="003660C7" w:rsidRPr="001E2698" w:rsidRDefault="001E2698">
      <w:r>
        <w:t>Таблица</w:t>
      </w:r>
      <w:r w:rsidRPr="003D50BC">
        <w:t xml:space="preserve"> </w:t>
      </w:r>
      <w:r>
        <w:t>отчета</w:t>
      </w:r>
      <w:r w:rsidRPr="003D50BC">
        <w:t xml:space="preserve"> </w:t>
      </w:r>
      <w:r>
        <w:t>имеет</w:t>
      </w:r>
      <w:r w:rsidRPr="003D50BC">
        <w:t xml:space="preserve"> </w:t>
      </w:r>
      <w:r>
        <w:t>вид</w:t>
      </w:r>
      <w:r w:rsidRPr="003D50BC">
        <w:t xml:space="preserve">. </w:t>
      </w:r>
      <w:r>
        <w:t>Сейчас его формирование идет с использованием стандартного отчета «Валовая прибыль предприятия» и последующей доработки полученных данных.</w:t>
      </w:r>
      <w:r w:rsidR="00A1057B">
        <w:t xml:space="preserve"> В отчете выбирается значение производителя (</w:t>
      </w:r>
      <w:proofErr w:type="spellStart"/>
      <w:r w:rsidR="00A1057B">
        <w:t>Номенклатура</w:t>
      </w:r>
      <w:proofErr w:type="gramStart"/>
      <w:r w:rsidR="00A1057B">
        <w:t>.П</w:t>
      </w:r>
      <w:proofErr w:type="gramEnd"/>
      <w:r w:rsidR="00A1057B">
        <w:t>роизводитель</w:t>
      </w:r>
      <w:proofErr w:type="spellEnd"/>
      <w:r w:rsidR="00A1057B">
        <w:t xml:space="preserve">). Анализ производится только по товарам выбранного производителя в разрезе документа (Реализация), т.е. одна и та же номенклатура в разных документах выводится в отчет в разных строках. </w:t>
      </w:r>
    </w:p>
    <w:tbl>
      <w:tblPr>
        <w:tblW w:w="16030" w:type="dxa"/>
        <w:tblInd w:w="-318" w:type="dxa"/>
        <w:tblLayout w:type="fixed"/>
        <w:tblLook w:val="04A0"/>
      </w:tblPr>
      <w:tblGrid>
        <w:gridCol w:w="1106"/>
        <w:gridCol w:w="1174"/>
        <w:gridCol w:w="1417"/>
        <w:gridCol w:w="851"/>
        <w:gridCol w:w="1134"/>
        <w:gridCol w:w="1134"/>
        <w:gridCol w:w="850"/>
        <w:gridCol w:w="851"/>
        <w:gridCol w:w="850"/>
        <w:gridCol w:w="1134"/>
        <w:gridCol w:w="1418"/>
        <w:gridCol w:w="1276"/>
        <w:gridCol w:w="1134"/>
        <w:gridCol w:w="992"/>
        <w:gridCol w:w="709"/>
      </w:tblGrid>
      <w:tr w:rsidR="001E2698" w:rsidRPr="001E2698" w:rsidTr="001E2698">
        <w:trPr>
          <w:trHeight w:val="49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Partner_ID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Partner_Name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Sold_City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Sold_City_Code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Sold_Date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Reference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Sold_QTY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Purchase_Price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Sold_Price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INN_Client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val="en-US" w:eastAsia="ru-RU"/>
              </w:rPr>
              <w:t>Client_Name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Client_City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Client_City_Code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Client_category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Ecommerce</w:t>
            </w:r>
            <w:proofErr w:type="spellEnd"/>
          </w:p>
        </w:tc>
      </w:tr>
      <w:tr w:rsidR="001E2698" w:rsidRPr="001E2698" w:rsidTr="001E2698">
        <w:trPr>
          <w:trHeight w:val="2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1000089363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"Компания СТТ"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 Основной 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GSL000324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3801138750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Техносвет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E2698" w:rsidRPr="001E2698" w:rsidTr="001E2698">
        <w:trPr>
          <w:trHeight w:val="2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1000089363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"Компания СТТ"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 Основной 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BLNRA010212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3801138750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Техносвет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Иркутск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E2698" w:rsidRPr="001E2698" w:rsidTr="001E2698">
        <w:trPr>
          <w:trHeight w:val="2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1000089363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"Компания СТТ"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 Основной 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A1057B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  <w:r w:rsidR="001E2698"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11054DEK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Частное лицо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 Основной склад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Конечник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E2698" w:rsidRPr="001E2698" w:rsidTr="001E2698">
        <w:trPr>
          <w:trHeight w:val="2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1000089363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"Компания СТТ"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 Основной склад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A1057B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1E2698"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GSL000145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698" w:rsidRPr="001E2698" w:rsidRDefault="001E2698" w:rsidP="001E2698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5405025355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Электрополе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98" w:rsidRPr="001E2698" w:rsidRDefault="001E2698" w:rsidP="001E2698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E2698" w:rsidRDefault="001E2698">
      <w:r>
        <w:t>В колонках с 1-ой по 4-ую всегда одни и те же данные, а последняя всегда пустая.</w:t>
      </w:r>
    </w:p>
    <w:p w:rsidR="001E2698" w:rsidRDefault="001E2698">
      <w:r>
        <w:t>5-ая колонка – дата продажи, в</w:t>
      </w:r>
      <w:r w:rsidR="003D50BC">
        <w:t xml:space="preserve"> указанном формате </w:t>
      </w:r>
      <w:proofErr w:type="spellStart"/>
      <w:r w:rsidR="003D50BC">
        <w:t>хх.хх</w:t>
      </w:r>
      <w:proofErr w:type="gramStart"/>
      <w:r w:rsidR="003D50BC">
        <w:t>.х</w:t>
      </w:r>
      <w:proofErr w:type="gramEnd"/>
      <w:r w:rsidR="003D50BC">
        <w:t>ххх</w:t>
      </w:r>
      <w:proofErr w:type="spellEnd"/>
    </w:p>
    <w:p w:rsidR="001E2698" w:rsidRDefault="001E2698">
      <w:r>
        <w:t>6-ая – артикул товара (берем из справочника номенклатуры)</w:t>
      </w:r>
    </w:p>
    <w:p w:rsidR="001E2698" w:rsidRDefault="001E2698">
      <w:r>
        <w:t>7-ая – проданное количество (берем из документа реализации)</w:t>
      </w:r>
    </w:p>
    <w:p w:rsidR="001E2698" w:rsidRDefault="001E2698">
      <w:r>
        <w:t xml:space="preserve">8-ая – закупочная цена (себестоимость </w:t>
      </w:r>
      <w:r w:rsidR="00A1057B">
        <w:t xml:space="preserve">единицы </w:t>
      </w:r>
      <w:r>
        <w:t xml:space="preserve">товара </w:t>
      </w:r>
      <w:r w:rsidR="00A1057B">
        <w:t xml:space="preserve">(себестоимость из отчета Валовая прибыль </w:t>
      </w:r>
      <w:proofErr w:type="gramStart"/>
      <w:r w:rsidR="00A1057B">
        <w:t>предприятия</w:t>
      </w:r>
      <w:proofErr w:type="gramEnd"/>
      <w:r w:rsidR="00A1057B">
        <w:t xml:space="preserve"> </w:t>
      </w:r>
      <w:r>
        <w:t>деленная на количество проданного)</w:t>
      </w:r>
      <w:r w:rsidR="00A1057B">
        <w:t>).</w:t>
      </w:r>
    </w:p>
    <w:p w:rsidR="001E2698" w:rsidRPr="00A626A9" w:rsidRDefault="001E2698">
      <w:r>
        <w:t xml:space="preserve">9-ая – цена </w:t>
      </w:r>
      <w:r w:rsidRPr="00A626A9">
        <w:t>продажи (алгоритм заполнения будет описан ниже)</w:t>
      </w:r>
    </w:p>
    <w:p w:rsidR="001E2698" w:rsidRPr="00A626A9" w:rsidRDefault="001E2698">
      <w:r w:rsidRPr="00A626A9">
        <w:t>10-ая – ИНН контрагента (берем из документа реализации</w:t>
      </w:r>
      <w:r w:rsidR="00A626A9">
        <w:t xml:space="preserve">, исключения </w:t>
      </w:r>
      <w:r w:rsidR="00FA089F" w:rsidRPr="00A626A9">
        <w:t>описан</w:t>
      </w:r>
      <w:r w:rsidR="00A626A9">
        <w:t>ы</w:t>
      </w:r>
      <w:r w:rsidR="00FA089F" w:rsidRPr="00A626A9">
        <w:t xml:space="preserve"> ниже</w:t>
      </w:r>
      <w:r w:rsidRPr="00A626A9">
        <w:t>)</w:t>
      </w:r>
    </w:p>
    <w:p w:rsidR="001E2698" w:rsidRPr="00A626A9" w:rsidRDefault="001E2698">
      <w:r w:rsidRPr="00A626A9">
        <w:t>11-ая – наименование контрагента (берем</w:t>
      </w:r>
      <w:r w:rsidR="00FA089F" w:rsidRPr="00A626A9">
        <w:t xml:space="preserve"> сокращенное юр. наименование контрагента</w:t>
      </w:r>
      <w:r w:rsidRPr="00A626A9">
        <w:t xml:space="preserve"> из документа реализации</w:t>
      </w:r>
      <w:r w:rsidR="00A626A9">
        <w:t xml:space="preserve">, исключения </w:t>
      </w:r>
      <w:r w:rsidR="00A626A9" w:rsidRPr="00A626A9">
        <w:t>описан</w:t>
      </w:r>
      <w:r w:rsidR="00A626A9">
        <w:t>ы</w:t>
      </w:r>
      <w:r w:rsidR="00A626A9" w:rsidRPr="00A626A9">
        <w:t xml:space="preserve"> ниже</w:t>
      </w:r>
      <w:r w:rsidRPr="00A626A9">
        <w:t>)</w:t>
      </w:r>
    </w:p>
    <w:p w:rsidR="00FA089F" w:rsidRPr="00A626A9" w:rsidRDefault="00FA089F">
      <w:r w:rsidRPr="00A626A9">
        <w:t xml:space="preserve">12-ая – город контрагента (берем в </w:t>
      </w:r>
      <w:proofErr w:type="spellStart"/>
      <w:proofErr w:type="gramStart"/>
      <w:r w:rsidRPr="00A626A9">
        <w:t>Бизнес-регионе</w:t>
      </w:r>
      <w:proofErr w:type="spellEnd"/>
      <w:proofErr w:type="gramEnd"/>
      <w:r w:rsidRPr="00A626A9">
        <w:t xml:space="preserve"> клиента</w:t>
      </w:r>
      <w:r w:rsidR="00A626A9">
        <w:t xml:space="preserve">, исключения </w:t>
      </w:r>
      <w:r w:rsidR="00A626A9" w:rsidRPr="00A626A9">
        <w:t>описан</w:t>
      </w:r>
      <w:r w:rsidR="00A626A9">
        <w:t>ы</w:t>
      </w:r>
      <w:r w:rsidR="00A626A9" w:rsidRPr="00A626A9">
        <w:t xml:space="preserve"> ниже</w:t>
      </w:r>
      <w:r w:rsidRPr="00A626A9">
        <w:t>)</w:t>
      </w:r>
    </w:p>
    <w:p w:rsidR="00FA089F" w:rsidRPr="00A626A9" w:rsidRDefault="00FA089F">
      <w:pPr>
        <w:rPr>
          <w:rFonts w:eastAsia="Times New Roman"/>
          <w:szCs w:val="24"/>
          <w:lang w:eastAsia="ru-RU"/>
        </w:rPr>
      </w:pPr>
      <w:proofErr w:type="gramStart"/>
      <w:r w:rsidRPr="00A626A9">
        <w:t>13-ая – код города (надо обсудить сможем ли мы найти и брать код из какого-нибудь справочника по Бизнес региону клиента.</w:t>
      </w:r>
      <w:proofErr w:type="gramEnd"/>
      <w:r w:rsidRPr="00A626A9">
        <w:t xml:space="preserve"> </w:t>
      </w:r>
      <w:proofErr w:type="gramStart"/>
      <w:r w:rsidRPr="00A626A9">
        <w:t>Если нет, то будем брать первые две цифры ИНН и дописыва</w:t>
      </w:r>
      <w:r w:rsidR="00970252">
        <w:t>ть</w:t>
      </w:r>
      <w:r w:rsidRPr="00A626A9">
        <w:t xml:space="preserve"> </w:t>
      </w:r>
      <w:r w:rsidRPr="001E2698">
        <w:rPr>
          <w:rFonts w:ascii="Arial" w:eastAsia="Times New Roman" w:hAnsi="Arial" w:cs="Arial"/>
          <w:sz w:val="16"/>
          <w:szCs w:val="16"/>
          <w:lang w:eastAsia="ru-RU"/>
        </w:rPr>
        <w:t>00000100000</w:t>
      </w:r>
      <w:r w:rsidR="00A626A9">
        <w:t xml:space="preserve">, исключения </w:t>
      </w:r>
      <w:r w:rsidR="00A626A9" w:rsidRPr="00A626A9">
        <w:t>описан</w:t>
      </w:r>
      <w:r w:rsidR="00A626A9">
        <w:t>ы</w:t>
      </w:r>
      <w:r w:rsidR="00A626A9" w:rsidRPr="00A626A9">
        <w:t xml:space="preserve"> ниже</w:t>
      </w:r>
      <w:r w:rsidRPr="00A626A9">
        <w:rPr>
          <w:rFonts w:eastAsia="Times New Roman"/>
          <w:szCs w:val="24"/>
          <w:lang w:eastAsia="ru-RU"/>
        </w:rPr>
        <w:t>)</w:t>
      </w:r>
      <w:proofErr w:type="gramEnd"/>
    </w:p>
    <w:p w:rsidR="00FA089F" w:rsidRDefault="00FA089F">
      <w:r w:rsidRPr="00A626A9">
        <w:rPr>
          <w:rFonts w:eastAsia="Times New Roman"/>
          <w:szCs w:val="24"/>
          <w:lang w:eastAsia="ru-RU"/>
        </w:rPr>
        <w:t xml:space="preserve">14-ая – категория клиента </w:t>
      </w:r>
      <w:r w:rsidRPr="00A626A9">
        <w:t xml:space="preserve">(алгоритм заполнения </w:t>
      </w:r>
      <w:r>
        <w:t>описан ниже)</w:t>
      </w:r>
      <w:r w:rsidR="0062641D">
        <w:t xml:space="preserve">. Список категорий ограничен и его надо </w:t>
      </w:r>
      <w:proofErr w:type="gramStart"/>
      <w:r w:rsidR="0062641D">
        <w:t>хранить</w:t>
      </w:r>
      <w:proofErr w:type="gramEnd"/>
      <w:r w:rsidR="0062641D">
        <w:t>.</w:t>
      </w:r>
    </w:p>
    <w:p w:rsidR="00FA089F" w:rsidRDefault="00FA089F"/>
    <w:p w:rsidR="00A1057B" w:rsidRDefault="00A1057B">
      <w:pPr>
        <w:rPr>
          <w:lang w:val="en-US"/>
        </w:rPr>
      </w:pPr>
      <w:r>
        <w:t>Для работы отчета потребуется промежуточная таблица. Структура таблицы</w:t>
      </w:r>
      <w:r>
        <w:rPr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2193"/>
        <w:gridCol w:w="2224"/>
        <w:gridCol w:w="2193"/>
        <w:gridCol w:w="2193"/>
      </w:tblGrid>
      <w:tr w:rsidR="00A1057B" w:rsidTr="00A1057B">
        <w:tc>
          <w:tcPr>
            <w:tcW w:w="2193" w:type="dxa"/>
            <w:vMerge w:val="restart"/>
            <w:vAlign w:val="center"/>
          </w:tcPr>
          <w:p w:rsidR="00A1057B" w:rsidRPr="00A1057B" w:rsidRDefault="00A1057B" w:rsidP="00A1057B">
            <w:pPr>
              <w:jc w:val="center"/>
            </w:pPr>
            <w:r>
              <w:t>ИНН контрагента</w:t>
            </w:r>
            <w:r w:rsidR="0062641D">
              <w:t xml:space="preserve"> (Наименование)</w:t>
            </w:r>
          </w:p>
        </w:tc>
        <w:tc>
          <w:tcPr>
            <w:tcW w:w="4417" w:type="dxa"/>
            <w:gridSpan w:val="2"/>
            <w:vAlign w:val="center"/>
          </w:tcPr>
          <w:p w:rsidR="00A1057B" w:rsidRPr="00A1057B" w:rsidRDefault="00A1057B" w:rsidP="00A1057B">
            <w:pPr>
              <w:jc w:val="center"/>
            </w:pPr>
            <w:r>
              <w:t>Цена продажи</w:t>
            </w:r>
          </w:p>
        </w:tc>
        <w:tc>
          <w:tcPr>
            <w:tcW w:w="2193" w:type="dxa"/>
            <w:vMerge w:val="restart"/>
            <w:vAlign w:val="center"/>
          </w:tcPr>
          <w:p w:rsidR="00A1057B" w:rsidRPr="00A1057B" w:rsidRDefault="00A1057B" w:rsidP="00A1057B">
            <w:pPr>
              <w:jc w:val="center"/>
            </w:pPr>
            <w:r>
              <w:t>Категория клиента</w:t>
            </w:r>
          </w:p>
        </w:tc>
      </w:tr>
      <w:tr w:rsidR="00A1057B" w:rsidTr="00A1057B">
        <w:tc>
          <w:tcPr>
            <w:tcW w:w="2193" w:type="dxa"/>
            <w:vMerge/>
          </w:tcPr>
          <w:p w:rsidR="00A1057B" w:rsidRDefault="00A1057B">
            <w:pPr>
              <w:rPr>
                <w:lang w:val="en-US"/>
              </w:rPr>
            </w:pPr>
          </w:p>
        </w:tc>
        <w:tc>
          <w:tcPr>
            <w:tcW w:w="2224" w:type="dxa"/>
          </w:tcPr>
          <w:p w:rsidR="00A1057B" w:rsidRPr="00A1057B" w:rsidRDefault="00A1057B">
            <w:r>
              <w:t>Ценовая группа</w:t>
            </w:r>
          </w:p>
        </w:tc>
        <w:tc>
          <w:tcPr>
            <w:tcW w:w="2193" w:type="dxa"/>
          </w:tcPr>
          <w:p w:rsidR="00A1057B" w:rsidRPr="00A1057B" w:rsidRDefault="00A1057B" w:rsidP="00D206DC">
            <w:r>
              <w:t>Вид цены</w:t>
            </w:r>
          </w:p>
        </w:tc>
        <w:tc>
          <w:tcPr>
            <w:tcW w:w="2193" w:type="dxa"/>
            <w:vMerge/>
          </w:tcPr>
          <w:p w:rsidR="00A1057B" w:rsidRDefault="00A1057B">
            <w:pPr>
              <w:rPr>
                <w:lang w:val="en-US"/>
              </w:rPr>
            </w:pPr>
          </w:p>
        </w:tc>
      </w:tr>
      <w:tr w:rsidR="00A1057B" w:rsidTr="00A1057B">
        <w:tc>
          <w:tcPr>
            <w:tcW w:w="2193" w:type="dxa"/>
            <w:vMerge w:val="restart"/>
            <w:vAlign w:val="center"/>
          </w:tcPr>
          <w:p w:rsidR="00A1057B" w:rsidRDefault="00A1057B" w:rsidP="00A1057B">
            <w:pPr>
              <w:jc w:val="left"/>
              <w:rPr>
                <w:lang w:val="en-US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3801138750</w:t>
            </w:r>
          </w:p>
        </w:tc>
        <w:tc>
          <w:tcPr>
            <w:tcW w:w="2224" w:type="dxa"/>
          </w:tcPr>
          <w:p w:rsidR="00A1057B" w:rsidRDefault="00A1057B">
            <w:pPr>
              <w:rPr>
                <w:lang w:val="en-US"/>
              </w:rPr>
            </w:pPr>
            <w:proofErr w:type="spellStart"/>
            <w:r w:rsidRPr="00A1057B">
              <w:rPr>
                <w:lang w:val="en-US"/>
              </w:rPr>
              <w:t>Шн_Декрафт</w:t>
            </w:r>
            <w:proofErr w:type="spellEnd"/>
            <w:r w:rsidRPr="00A1057B">
              <w:rPr>
                <w:lang w:val="en-US"/>
              </w:rPr>
              <w:t xml:space="preserve"> -12,78%</w:t>
            </w:r>
          </w:p>
        </w:tc>
        <w:tc>
          <w:tcPr>
            <w:tcW w:w="2193" w:type="dxa"/>
          </w:tcPr>
          <w:p w:rsidR="00A1057B" w:rsidRPr="00A1057B" w:rsidRDefault="00A1057B">
            <w:r w:rsidRPr="00A1057B">
              <w:t>Тариф -29% (ИЭК_</w:t>
            </w:r>
            <w:r w:rsidRPr="00A1057B">
              <w:rPr>
                <w:lang w:val="en-US"/>
              </w:rPr>
              <w:t>ITK</w:t>
            </w:r>
            <w:r w:rsidRPr="00A1057B">
              <w:t xml:space="preserve">, </w:t>
            </w:r>
            <w:proofErr w:type="spellStart"/>
            <w:r w:rsidRPr="00A1057B">
              <w:t>Шн_Дек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РитЭ</w:t>
            </w:r>
            <w:proofErr w:type="spellEnd"/>
            <w:r w:rsidRPr="00A1057B">
              <w:t>)</w:t>
            </w:r>
          </w:p>
        </w:tc>
        <w:tc>
          <w:tcPr>
            <w:tcW w:w="2193" w:type="dxa"/>
            <w:vMerge w:val="restart"/>
            <w:vAlign w:val="center"/>
          </w:tcPr>
          <w:p w:rsidR="00A1057B" w:rsidRDefault="00A1057B" w:rsidP="00A1057B">
            <w:pPr>
              <w:jc w:val="center"/>
              <w:rPr>
                <w:lang w:val="en-US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Дилер</w:t>
            </w:r>
          </w:p>
        </w:tc>
      </w:tr>
      <w:tr w:rsidR="00A1057B" w:rsidRPr="00A1057B" w:rsidTr="00A1057B">
        <w:tc>
          <w:tcPr>
            <w:tcW w:w="2193" w:type="dxa"/>
            <w:vMerge/>
            <w:vAlign w:val="center"/>
          </w:tcPr>
          <w:p w:rsidR="00A1057B" w:rsidRDefault="00A1057B" w:rsidP="00A1057B">
            <w:pPr>
              <w:jc w:val="center"/>
              <w:rPr>
                <w:lang w:val="en-US"/>
              </w:rPr>
            </w:pPr>
          </w:p>
        </w:tc>
        <w:tc>
          <w:tcPr>
            <w:tcW w:w="2224" w:type="dxa"/>
          </w:tcPr>
          <w:p w:rsidR="00A1057B" w:rsidRDefault="00A1057B">
            <w:pPr>
              <w:rPr>
                <w:lang w:val="en-US"/>
              </w:rPr>
            </w:pPr>
            <w:proofErr w:type="spellStart"/>
            <w:r w:rsidRPr="00A1057B">
              <w:rPr>
                <w:lang w:val="en-US"/>
              </w:rPr>
              <w:t>Шн_РитейлОптим</w:t>
            </w:r>
            <w:proofErr w:type="spellEnd"/>
            <w:r w:rsidRPr="00A1057B">
              <w:rPr>
                <w:lang w:val="en-US"/>
              </w:rPr>
              <w:t xml:space="preserve"> - 23,40%</w:t>
            </w:r>
          </w:p>
        </w:tc>
        <w:tc>
          <w:tcPr>
            <w:tcW w:w="2193" w:type="dxa"/>
          </w:tcPr>
          <w:p w:rsidR="00A1057B" w:rsidRPr="00A1057B" w:rsidRDefault="00A1057B">
            <w:r w:rsidRPr="00A1057B">
              <w:t>Тариф -47%  (</w:t>
            </w:r>
            <w:proofErr w:type="spellStart"/>
            <w:r w:rsidRPr="00A1057B">
              <w:t>ИЭК_ост</w:t>
            </w:r>
            <w:proofErr w:type="spellEnd"/>
            <w:r w:rsidRPr="00A1057B">
              <w:t xml:space="preserve">, свет, </w:t>
            </w:r>
            <w:proofErr w:type="spellStart"/>
            <w:r w:rsidRPr="00A1057B">
              <w:t>Стаб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Шн_РитПр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РитОп</w:t>
            </w:r>
            <w:proofErr w:type="spellEnd"/>
            <w:r w:rsidRPr="00A1057B">
              <w:t>)</w:t>
            </w:r>
          </w:p>
        </w:tc>
        <w:tc>
          <w:tcPr>
            <w:tcW w:w="2193" w:type="dxa"/>
            <w:vMerge/>
            <w:vAlign w:val="center"/>
          </w:tcPr>
          <w:p w:rsidR="00A1057B" w:rsidRPr="00A1057B" w:rsidRDefault="00A1057B" w:rsidP="00A1057B">
            <w:pPr>
              <w:jc w:val="center"/>
            </w:pPr>
          </w:p>
        </w:tc>
      </w:tr>
      <w:tr w:rsidR="00A1057B" w:rsidRPr="00A1057B" w:rsidTr="00A1057B">
        <w:tc>
          <w:tcPr>
            <w:tcW w:w="2193" w:type="dxa"/>
            <w:vMerge/>
            <w:vAlign w:val="center"/>
          </w:tcPr>
          <w:p w:rsidR="00A1057B" w:rsidRPr="00A1057B" w:rsidRDefault="00A1057B" w:rsidP="00A1057B">
            <w:pPr>
              <w:jc w:val="center"/>
            </w:pPr>
          </w:p>
        </w:tc>
        <w:tc>
          <w:tcPr>
            <w:tcW w:w="2224" w:type="dxa"/>
          </w:tcPr>
          <w:p w:rsidR="00A1057B" w:rsidRPr="00A1057B" w:rsidRDefault="00A1057B">
            <w:proofErr w:type="spellStart"/>
            <w:r w:rsidRPr="00A1057B">
              <w:t>Шн_РитейлЭконом</w:t>
            </w:r>
            <w:proofErr w:type="spellEnd"/>
            <w:r w:rsidRPr="00A1057B">
              <w:t xml:space="preserve"> - 23,3%</w:t>
            </w:r>
          </w:p>
        </w:tc>
        <w:tc>
          <w:tcPr>
            <w:tcW w:w="2193" w:type="dxa"/>
          </w:tcPr>
          <w:p w:rsidR="00A1057B" w:rsidRPr="00A1057B" w:rsidRDefault="00A1057B">
            <w:r w:rsidRPr="00A1057B">
              <w:t xml:space="preserve">Тариф -27% (ИЭК_ITK, </w:t>
            </w:r>
            <w:proofErr w:type="spellStart"/>
            <w:r w:rsidRPr="00A1057B">
              <w:t>Шн_Дек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РитЭ</w:t>
            </w:r>
            <w:proofErr w:type="spellEnd"/>
            <w:r w:rsidRPr="00A1057B">
              <w:t>)</w:t>
            </w:r>
          </w:p>
        </w:tc>
        <w:tc>
          <w:tcPr>
            <w:tcW w:w="2193" w:type="dxa"/>
            <w:vMerge/>
            <w:vAlign w:val="center"/>
          </w:tcPr>
          <w:p w:rsidR="00A1057B" w:rsidRPr="00A1057B" w:rsidRDefault="00A1057B" w:rsidP="00A1057B">
            <w:pPr>
              <w:jc w:val="center"/>
            </w:pPr>
          </w:p>
        </w:tc>
      </w:tr>
      <w:tr w:rsidR="00A1057B" w:rsidTr="00A1057B">
        <w:tc>
          <w:tcPr>
            <w:tcW w:w="2193" w:type="dxa"/>
            <w:vMerge w:val="restart"/>
            <w:vAlign w:val="center"/>
          </w:tcPr>
          <w:p w:rsidR="00A1057B" w:rsidRDefault="00A1057B" w:rsidP="00A1057B">
            <w:pPr>
              <w:jc w:val="left"/>
              <w:rPr>
                <w:lang w:val="en-US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5405025355</w:t>
            </w:r>
          </w:p>
        </w:tc>
        <w:tc>
          <w:tcPr>
            <w:tcW w:w="2224" w:type="dxa"/>
          </w:tcPr>
          <w:p w:rsidR="00A1057B" w:rsidRDefault="00A1057B" w:rsidP="00D206DC">
            <w:pPr>
              <w:rPr>
                <w:lang w:val="en-US"/>
              </w:rPr>
            </w:pPr>
            <w:proofErr w:type="spellStart"/>
            <w:r w:rsidRPr="00A1057B">
              <w:rPr>
                <w:lang w:val="en-US"/>
              </w:rPr>
              <w:t>Шн_РитейлОптим</w:t>
            </w:r>
            <w:proofErr w:type="spellEnd"/>
            <w:r w:rsidRPr="00A1057B">
              <w:rPr>
                <w:lang w:val="en-US"/>
              </w:rPr>
              <w:t xml:space="preserve"> - 23,40%</w:t>
            </w:r>
          </w:p>
        </w:tc>
        <w:tc>
          <w:tcPr>
            <w:tcW w:w="2193" w:type="dxa"/>
          </w:tcPr>
          <w:p w:rsidR="00A1057B" w:rsidRPr="00A1057B" w:rsidRDefault="00A1057B" w:rsidP="00A1057B">
            <w:r w:rsidRPr="00A1057B">
              <w:t>Тариф -4</w:t>
            </w:r>
            <w:r>
              <w:t>8</w:t>
            </w:r>
            <w:r w:rsidRPr="00A1057B">
              <w:t>%  (</w:t>
            </w:r>
            <w:proofErr w:type="spellStart"/>
            <w:r w:rsidRPr="00A1057B">
              <w:t>ИЭК_ост</w:t>
            </w:r>
            <w:proofErr w:type="spellEnd"/>
            <w:r w:rsidRPr="00A1057B">
              <w:t xml:space="preserve">, свет, </w:t>
            </w:r>
            <w:proofErr w:type="spellStart"/>
            <w:r w:rsidRPr="00A1057B">
              <w:t>Стаб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Шн_РитПр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РитОп</w:t>
            </w:r>
            <w:proofErr w:type="spellEnd"/>
            <w:r w:rsidRPr="00A1057B">
              <w:t>)</w:t>
            </w:r>
          </w:p>
        </w:tc>
        <w:tc>
          <w:tcPr>
            <w:tcW w:w="2193" w:type="dxa"/>
            <w:vMerge w:val="restart"/>
            <w:vAlign w:val="center"/>
          </w:tcPr>
          <w:p w:rsidR="00A1057B" w:rsidRDefault="00A1057B" w:rsidP="00A1057B">
            <w:pPr>
              <w:jc w:val="center"/>
              <w:rPr>
                <w:lang w:val="en-US"/>
              </w:rPr>
            </w:pPr>
            <w:r w:rsidRPr="001E26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ТП</w:t>
            </w:r>
          </w:p>
        </w:tc>
      </w:tr>
      <w:tr w:rsidR="00A1057B" w:rsidRPr="00A1057B" w:rsidTr="00A1057B">
        <w:tc>
          <w:tcPr>
            <w:tcW w:w="2193" w:type="dxa"/>
            <w:vMerge/>
          </w:tcPr>
          <w:p w:rsidR="00A1057B" w:rsidRDefault="00A1057B">
            <w:pPr>
              <w:rPr>
                <w:lang w:val="en-US"/>
              </w:rPr>
            </w:pPr>
          </w:p>
        </w:tc>
        <w:tc>
          <w:tcPr>
            <w:tcW w:w="2224" w:type="dxa"/>
          </w:tcPr>
          <w:p w:rsidR="00A1057B" w:rsidRPr="00A1057B" w:rsidRDefault="00A1057B" w:rsidP="00D206DC">
            <w:proofErr w:type="spellStart"/>
            <w:r w:rsidRPr="00A1057B">
              <w:t>Шн_РитейлЭконом</w:t>
            </w:r>
            <w:proofErr w:type="spellEnd"/>
            <w:r w:rsidRPr="00A1057B">
              <w:t xml:space="preserve"> - 23,3%</w:t>
            </w:r>
          </w:p>
        </w:tc>
        <w:tc>
          <w:tcPr>
            <w:tcW w:w="2193" w:type="dxa"/>
          </w:tcPr>
          <w:p w:rsidR="00A1057B" w:rsidRPr="00A1057B" w:rsidRDefault="00A1057B" w:rsidP="00A1057B">
            <w:r w:rsidRPr="00A1057B">
              <w:t>Тариф -2</w:t>
            </w:r>
            <w:r>
              <w:t>8</w:t>
            </w:r>
            <w:r w:rsidRPr="00A1057B">
              <w:t xml:space="preserve">% (ИЭК_ITK, </w:t>
            </w:r>
            <w:proofErr w:type="spellStart"/>
            <w:r w:rsidRPr="00A1057B">
              <w:t>Шн_Дек</w:t>
            </w:r>
            <w:proofErr w:type="spellEnd"/>
            <w:r w:rsidRPr="00A1057B">
              <w:t xml:space="preserve">, </w:t>
            </w:r>
            <w:proofErr w:type="spellStart"/>
            <w:r w:rsidRPr="00A1057B">
              <w:t>РитЭ</w:t>
            </w:r>
            <w:proofErr w:type="spellEnd"/>
            <w:r w:rsidRPr="00A1057B">
              <w:t>)</w:t>
            </w:r>
          </w:p>
        </w:tc>
        <w:tc>
          <w:tcPr>
            <w:tcW w:w="2193" w:type="dxa"/>
            <w:vMerge/>
          </w:tcPr>
          <w:p w:rsidR="00A1057B" w:rsidRPr="00A1057B" w:rsidRDefault="00A1057B"/>
        </w:tc>
      </w:tr>
    </w:tbl>
    <w:p w:rsidR="0062641D" w:rsidRDefault="0062641D" w:rsidP="0062641D">
      <w:r>
        <w:t xml:space="preserve">По первой колонке нам надо проводить идентификацию контрагента, а т.к. не у всех есть ИНН, то при его отсутствии идентифицировать надо по наименованию. Можно рассмотреть </w:t>
      </w:r>
      <w:r w:rsidR="00970252">
        <w:t>предложения по</w:t>
      </w:r>
      <w:r>
        <w:t xml:space="preserve"> други</w:t>
      </w:r>
      <w:r w:rsidR="00970252">
        <w:t>м</w:t>
      </w:r>
      <w:r>
        <w:t xml:space="preserve"> способ</w:t>
      </w:r>
      <w:r w:rsidR="00970252">
        <w:t>ам</w:t>
      </w:r>
      <w:r>
        <w:t xml:space="preserve"> идентификации. </w:t>
      </w:r>
      <w:r w:rsidR="00970252">
        <w:t>Надо учесть, что могут быть два и более клиента с одинаковыми названиями и сотрудники могут менять наименование.</w:t>
      </w:r>
    </w:p>
    <w:p w:rsidR="0062641D" w:rsidRDefault="00DB72D2" w:rsidP="0062641D">
      <w:r>
        <w:t xml:space="preserve">При формировании отчета по каждой строке </w:t>
      </w:r>
      <w:r w:rsidR="0062641D">
        <w:t>идентифицируем</w:t>
      </w:r>
      <w:r>
        <w:t xml:space="preserve"> контрагента в промежуточной таблице. </w:t>
      </w:r>
      <w:r w:rsidR="0062641D">
        <w:t>Если Категория клиента = Частное лицо, то заполняем колонки отчета следующим образом</w:t>
      </w:r>
    </w:p>
    <w:p w:rsidR="0062641D" w:rsidRDefault="0062641D" w:rsidP="0062641D">
      <w:r>
        <w:t>9-ая – цену продажи определяем по виду цены «</w:t>
      </w:r>
      <w:r w:rsidRPr="00DB72D2">
        <w:t>База</w:t>
      </w:r>
      <w:r>
        <w:t>» на дату документа</w:t>
      </w:r>
    </w:p>
    <w:p w:rsidR="0062641D" w:rsidRDefault="0062641D" w:rsidP="0062641D">
      <w:r>
        <w:t>10-ая – оставляем пустой</w:t>
      </w:r>
    </w:p>
    <w:p w:rsidR="0062641D" w:rsidRDefault="0062641D" w:rsidP="0062641D">
      <w:r>
        <w:t xml:space="preserve">11-ая – пишем </w:t>
      </w:r>
      <w:r w:rsidRPr="001E2698">
        <w:rPr>
          <w:rFonts w:ascii="Arial" w:eastAsia="Times New Roman" w:hAnsi="Arial" w:cs="Arial"/>
          <w:sz w:val="16"/>
          <w:szCs w:val="16"/>
          <w:lang w:eastAsia="ru-RU"/>
        </w:rPr>
        <w:t>Частное лицо</w:t>
      </w:r>
    </w:p>
    <w:p w:rsidR="0062641D" w:rsidRDefault="0062641D" w:rsidP="0062641D">
      <w:r>
        <w:t xml:space="preserve">12-ая </w:t>
      </w:r>
      <w:proofErr w:type="gramStart"/>
      <w:r>
        <w:t>–п</w:t>
      </w:r>
      <w:proofErr w:type="gramEnd"/>
      <w:r>
        <w:t xml:space="preserve">ишем </w:t>
      </w:r>
      <w:r w:rsidRPr="001E2698">
        <w:rPr>
          <w:rFonts w:ascii="Arial" w:eastAsia="Times New Roman" w:hAnsi="Arial" w:cs="Arial"/>
          <w:sz w:val="16"/>
          <w:szCs w:val="16"/>
          <w:lang w:eastAsia="ru-RU"/>
        </w:rPr>
        <w:t>Новосибирск Основной склад</w:t>
      </w:r>
    </w:p>
    <w:p w:rsidR="0062641D" w:rsidRDefault="0062641D" w:rsidP="0062641D">
      <w:pPr>
        <w:rPr>
          <w:rFonts w:eastAsia="Times New Roman"/>
          <w:szCs w:val="24"/>
          <w:lang w:eastAsia="ru-RU"/>
        </w:rPr>
      </w:pPr>
      <w:r>
        <w:t xml:space="preserve">13-ая </w:t>
      </w:r>
      <w:proofErr w:type="gramStart"/>
      <w:r>
        <w:t>–</w:t>
      </w:r>
      <w:r>
        <w:rPr>
          <w:rFonts w:eastAsia="Times New Roman"/>
          <w:szCs w:val="24"/>
          <w:lang w:eastAsia="ru-RU"/>
        </w:rPr>
        <w:t>п</w:t>
      </w:r>
      <w:proofErr w:type="gramEnd"/>
      <w:r>
        <w:rPr>
          <w:rFonts w:eastAsia="Times New Roman"/>
          <w:szCs w:val="24"/>
          <w:lang w:eastAsia="ru-RU"/>
        </w:rPr>
        <w:t xml:space="preserve">ишем </w:t>
      </w:r>
      <w:r w:rsidRPr="001E2698">
        <w:rPr>
          <w:rFonts w:ascii="Arial" w:eastAsia="Times New Roman" w:hAnsi="Arial" w:cs="Arial"/>
          <w:sz w:val="16"/>
          <w:szCs w:val="16"/>
          <w:lang w:eastAsia="ru-RU"/>
        </w:rPr>
        <w:t>5400000100000</w:t>
      </w:r>
    </w:p>
    <w:p w:rsidR="0062641D" w:rsidRDefault="0062641D" w:rsidP="0062641D">
      <w:r>
        <w:rPr>
          <w:rFonts w:eastAsia="Times New Roman"/>
          <w:szCs w:val="24"/>
          <w:lang w:eastAsia="ru-RU"/>
        </w:rPr>
        <w:t xml:space="preserve">14-ая – пишем </w:t>
      </w:r>
      <w:proofErr w:type="spellStart"/>
      <w:r w:rsidRPr="001E2698">
        <w:rPr>
          <w:rFonts w:ascii="Arial" w:eastAsia="Times New Roman" w:hAnsi="Arial" w:cs="Arial"/>
          <w:sz w:val="16"/>
          <w:szCs w:val="16"/>
          <w:lang w:eastAsia="ru-RU"/>
        </w:rPr>
        <w:t>Конечник</w:t>
      </w:r>
      <w:proofErr w:type="spellEnd"/>
    </w:p>
    <w:p w:rsidR="00A1057B" w:rsidRDefault="00970252">
      <w:r>
        <w:lastRenderedPageBreak/>
        <w:t>Иначе (</w:t>
      </w:r>
      <w:r w:rsidR="008F5D9E">
        <w:t>не Частное лицо)</w:t>
      </w:r>
      <w:r w:rsidR="00DB72D2">
        <w:t xml:space="preserve"> определяем цену продажи (9-ая колонка) по ценовой группе и виду цены</w:t>
      </w:r>
      <w:r>
        <w:t>, указанной в промежуточной таблице</w:t>
      </w:r>
      <w:r w:rsidR="00DB72D2">
        <w:t>. Если ценовой группы в списке нет, то цену продажи определяем по виду цены «</w:t>
      </w:r>
      <w:r w:rsidR="00DB72D2" w:rsidRPr="00DB72D2">
        <w:t>от 200</w:t>
      </w:r>
      <w:r w:rsidR="00DB72D2">
        <w:t xml:space="preserve">». В 14-ой колонке </w:t>
      </w:r>
      <w:r w:rsidR="0062641D">
        <w:t>указываем</w:t>
      </w:r>
      <w:r w:rsidR="00DB72D2">
        <w:t xml:space="preserve"> Категорию клиента из промежуточной таблицы.</w:t>
      </w:r>
      <w:r w:rsidR="0062641D">
        <w:t xml:space="preserve"> </w:t>
      </w:r>
    </w:p>
    <w:p w:rsidR="00970252" w:rsidRDefault="00970252">
      <w:r>
        <w:t xml:space="preserve">Если клиент не идентифицирован в промежуточной таблице, то прекращаем формирование отчета и сообщаем «Клиент </w:t>
      </w:r>
      <w:r>
        <w:rPr>
          <w:i/>
        </w:rPr>
        <w:t>наименование клиента</w:t>
      </w:r>
      <w:r>
        <w:t xml:space="preserve"> не идентифицирован. Добавьте его в промежуточную таблицу». </w:t>
      </w:r>
    </w:p>
    <w:p w:rsidR="0062641D" w:rsidRDefault="0062641D">
      <w:r>
        <w:t>Все цены смотрим на дату документа.</w:t>
      </w:r>
    </w:p>
    <w:p w:rsidR="00DB72D2" w:rsidRDefault="00DB72D2"/>
    <w:p w:rsidR="0062641D" w:rsidRPr="0062641D" w:rsidRDefault="0062641D">
      <w:r>
        <w:t xml:space="preserve">Перед формированием отчета всегда надо запускать процедуру контроля и </w:t>
      </w:r>
      <w:proofErr w:type="spellStart"/>
      <w:r>
        <w:t>дозаполнения</w:t>
      </w:r>
      <w:proofErr w:type="spellEnd"/>
      <w:r>
        <w:t xml:space="preserve"> промежуточной таблицы. Для этого смотрим продажи за указанный в отчете период по указанному производителю в разрезе контрагентов. Если контрагента нет в промежуточной таблице, то его надо вывести в «Контрольную таблицу». Структура контрольной таблицы</w:t>
      </w:r>
      <w:r w:rsidRPr="0062641D">
        <w:t>:</w:t>
      </w:r>
    </w:p>
    <w:tbl>
      <w:tblPr>
        <w:tblStyle w:val="a3"/>
        <w:tblW w:w="13793" w:type="dxa"/>
        <w:tblLook w:val="04A0"/>
      </w:tblPr>
      <w:tblGrid>
        <w:gridCol w:w="1919"/>
        <w:gridCol w:w="1919"/>
        <w:gridCol w:w="1919"/>
        <w:gridCol w:w="1919"/>
        <w:gridCol w:w="1919"/>
        <w:gridCol w:w="1919"/>
        <w:gridCol w:w="2279"/>
      </w:tblGrid>
      <w:tr w:rsidR="0062641D" w:rsidTr="0062641D">
        <w:tc>
          <w:tcPr>
            <w:tcW w:w="1919" w:type="dxa"/>
            <w:vMerge w:val="restart"/>
            <w:vAlign w:val="center"/>
          </w:tcPr>
          <w:p w:rsidR="0062641D" w:rsidRPr="0062641D" w:rsidRDefault="0062641D" w:rsidP="0062641D">
            <w:pPr>
              <w:jc w:val="left"/>
            </w:pPr>
            <w:r>
              <w:t>Клиент</w:t>
            </w:r>
          </w:p>
        </w:tc>
        <w:tc>
          <w:tcPr>
            <w:tcW w:w="1919" w:type="dxa"/>
            <w:vMerge w:val="restart"/>
            <w:vAlign w:val="center"/>
          </w:tcPr>
          <w:p w:rsidR="0062641D" w:rsidRDefault="0062641D" w:rsidP="0062641D">
            <w:pPr>
              <w:jc w:val="left"/>
            </w:pPr>
            <w:r>
              <w:t>Выручка</w:t>
            </w:r>
          </w:p>
        </w:tc>
        <w:tc>
          <w:tcPr>
            <w:tcW w:w="1919" w:type="dxa"/>
            <w:vMerge w:val="restart"/>
            <w:vAlign w:val="center"/>
          </w:tcPr>
          <w:p w:rsidR="0062641D" w:rsidRPr="0062641D" w:rsidRDefault="0062641D" w:rsidP="0062641D">
            <w:pPr>
              <w:jc w:val="left"/>
            </w:pPr>
            <w:r>
              <w:t>ИНН контрагента</w:t>
            </w:r>
          </w:p>
        </w:tc>
        <w:tc>
          <w:tcPr>
            <w:tcW w:w="1919" w:type="dxa"/>
            <w:vMerge w:val="restart"/>
            <w:vAlign w:val="center"/>
          </w:tcPr>
          <w:p w:rsidR="0062641D" w:rsidRPr="0062641D" w:rsidRDefault="0062641D" w:rsidP="0062641D">
            <w:pPr>
              <w:jc w:val="left"/>
            </w:pPr>
            <w:r>
              <w:t>Бизнес-регион клиента</w:t>
            </w:r>
          </w:p>
        </w:tc>
        <w:tc>
          <w:tcPr>
            <w:tcW w:w="3838" w:type="dxa"/>
            <w:gridSpan w:val="2"/>
            <w:vAlign w:val="center"/>
          </w:tcPr>
          <w:p w:rsidR="0062641D" w:rsidRPr="0062641D" w:rsidRDefault="0062641D" w:rsidP="0062641D">
            <w:pPr>
              <w:jc w:val="center"/>
            </w:pPr>
            <w:r>
              <w:t>Цена продажи</w:t>
            </w:r>
          </w:p>
        </w:tc>
        <w:tc>
          <w:tcPr>
            <w:tcW w:w="2279" w:type="dxa"/>
            <w:vMerge w:val="restart"/>
            <w:vAlign w:val="center"/>
          </w:tcPr>
          <w:p w:rsidR="0062641D" w:rsidRDefault="0062641D" w:rsidP="0062641D">
            <w:pPr>
              <w:jc w:val="left"/>
              <w:rPr>
                <w:lang w:val="en-US"/>
              </w:rPr>
            </w:pPr>
            <w:r>
              <w:t>Категория клиента</w:t>
            </w:r>
          </w:p>
        </w:tc>
      </w:tr>
      <w:tr w:rsidR="0062641D" w:rsidTr="0062641D">
        <w:tc>
          <w:tcPr>
            <w:tcW w:w="1919" w:type="dxa"/>
            <w:vMerge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  <w:vMerge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  <w:vMerge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  <w:vMerge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Pr="00A1057B" w:rsidRDefault="0062641D" w:rsidP="00D206DC">
            <w:r>
              <w:t>Ценовая группа</w:t>
            </w:r>
          </w:p>
        </w:tc>
        <w:tc>
          <w:tcPr>
            <w:tcW w:w="1919" w:type="dxa"/>
          </w:tcPr>
          <w:p w:rsidR="0062641D" w:rsidRPr="00A1057B" w:rsidRDefault="0062641D" w:rsidP="00D206DC">
            <w:r>
              <w:t>Вид цены</w:t>
            </w:r>
          </w:p>
        </w:tc>
        <w:tc>
          <w:tcPr>
            <w:tcW w:w="2279" w:type="dxa"/>
            <w:vMerge/>
          </w:tcPr>
          <w:p w:rsidR="0062641D" w:rsidRDefault="0062641D">
            <w:pPr>
              <w:rPr>
                <w:lang w:val="en-US"/>
              </w:rPr>
            </w:pPr>
          </w:p>
        </w:tc>
      </w:tr>
      <w:tr w:rsidR="0062641D" w:rsidTr="0062641D"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2279" w:type="dxa"/>
          </w:tcPr>
          <w:p w:rsidR="0062641D" w:rsidRDefault="0062641D">
            <w:pPr>
              <w:rPr>
                <w:lang w:val="en-US"/>
              </w:rPr>
            </w:pPr>
          </w:p>
        </w:tc>
      </w:tr>
      <w:tr w:rsidR="0062641D" w:rsidTr="0062641D"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1919" w:type="dxa"/>
          </w:tcPr>
          <w:p w:rsidR="0062641D" w:rsidRDefault="0062641D">
            <w:pPr>
              <w:rPr>
                <w:lang w:val="en-US"/>
              </w:rPr>
            </w:pPr>
          </w:p>
        </w:tc>
        <w:tc>
          <w:tcPr>
            <w:tcW w:w="2279" w:type="dxa"/>
          </w:tcPr>
          <w:p w:rsidR="0062641D" w:rsidRDefault="0062641D">
            <w:pPr>
              <w:rPr>
                <w:lang w:val="en-US"/>
              </w:rPr>
            </w:pPr>
          </w:p>
        </w:tc>
      </w:tr>
    </w:tbl>
    <w:p w:rsidR="0062641D" w:rsidRPr="0062641D" w:rsidRDefault="0062641D">
      <w:pPr>
        <w:rPr>
          <w:szCs w:val="24"/>
        </w:rPr>
      </w:pPr>
      <w:r>
        <w:t>Производить сортировку по убыванию выручки. В этой таблице должна быть возможность заполнить все колонки кроме первых трех. При закрытии или выходе из таблицы (или по кнопке «Перенести данные») надо переносить заполненные данные в промежуточную таблицу</w:t>
      </w:r>
      <w:r w:rsidR="00970252">
        <w:t>, но перед этим проверять обязательность заполнения</w:t>
      </w:r>
      <w:r>
        <w:t xml:space="preserve"> колон</w:t>
      </w:r>
      <w:r w:rsidR="00970252">
        <w:t>о</w:t>
      </w:r>
      <w:r>
        <w:t>к «Категория клиента»</w:t>
      </w:r>
      <w:r w:rsidR="00970252">
        <w:t xml:space="preserve"> </w:t>
      </w:r>
      <w:r>
        <w:t xml:space="preserve">и «Бизнес-регион клиента» и если </w:t>
      </w:r>
      <w:r w:rsidR="00970252">
        <w:t>что-то</w:t>
      </w:r>
      <w:r>
        <w:t xml:space="preserve"> не заполнен</w:t>
      </w:r>
      <w:r w:rsidR="00970252">
        <w:t>о</w:t>
      </w:r>
      <w:r>
        <w:t>, то выводим сообщение «</w:t>
      </w:r>
      <w:r w:rsidR="00970252">
        <w:t>Проверьте заполнение колонок</w:t>
      </w:r>
      <w:r>
        <w:t xml:space="preserve"> Бизнес-регион </w:t>
      </w:r>
      <w:r w:rsidR="00970252">
        <w:t>и Категория клиента»</w:t>
      </w:r>
      <w:r>
        <w:rPr>
          <w:szCs w:val="24"/>
        </w:rPr>
        <w:t>. При двойном щелчке в первой колонке должна открываться карточка клиента.</w:t>
      </w:r>
    </w:p>
    <w:p w:rsidR="0062641D" w:rsidRDefault="0062641D">
      <w:r>
        <w:t>Сделать в обработке кнопку «Просмотр промежуточной таблицы». По ней должна выводиться таблица и должна быть возможность ее корректировать.</w:t>
      </w:r>
    </w:p>
    <w:p w:rsidR="0062641D" w:rsidRDefault="0062641D"/>
    <w:p w:rsidR="00A626A9" w:rsidRDefault="00A626A9"/>
    <w:p w:rsidR="00A626A9" w:rsidRDefault="00A626A9" w:rsidP="00A626A9">
      <w:pPr>
        <w:rPr>
          <w:b/>
          <w:u w:val="single"/>
        </w:rPr>
      </w:pPr>
      <w:r>
        <w:rPr>
          <w:b/>
          <w:u w:val="single"/>
        </w:rPr>
        <w:t>Отчет №2</w:t>
      </w:r>
    </w:p>
    <w:p w:rsidR="000E075A" w:rsidRDefault="000E075A"/>
    <w:p w:rsidR="000E075A" w:rsidRPr="000E075A" w:rsidRDefault="000E075A" w:rsidP="000E075A">
      <w:r>
        <w:t xml:space="preserve">Отчет всегда делается </w:t>
      </w:r>
      <w:r w:rsidR="00D70252">
        <w:t>на дату – конец периода отчета</w:t>
      </w:r>
      <w:r>
        <w:t xml:space="preserve">. Его надо сохранять с названием – </w:t>
      </w:r>
      <w:r w:rsidRPr="000E075A">
        <w:t>STT_Stock_0</w:t>
      </w:r>
      <w:r>
        <w:t>9</w:t>
      </w:r>
      <w:r w:rsidRPr="000E075A">
        <w:t>2020.xlsx</w:t>
      </w:r>
      <w:r>
        <w:t>, где 09 – месяц отчета, а 2020 год отчета.</w:t>
      </w:r>
    </w:p>
    <w:p w:rsidR="00A626A9" w:rsidRDefault="00A626A9">
      <w:r>
        <w:t>Таблица отчета имеет вид</w:t>
      </w:r>
      <w:r w:rsidR="00BA222D">
        <w:t>. В отчет заносятся остатки товара по выбранному производителю на конец периода отчета с учетом поправок.</w:t>
      </w:r>
    </w:p>
    <w:tbl>
      <w:tblPr>
        <w:tblW w:w="14847" w:type="dxa"/>
        <w:tblInd w:w="96" w:type="dxa"/>
        <w:tblLook w:val="04A0"/>
      </w:tblPr>
      <w:tblGrid>
        <w:gridCol w:w="1371"/>
        <w:gridCol w:w="2607"/>
        <w:gridCol w:w="1440"/>
        <w:gridCol w:w="1600"/>
        <w:gridCol w:w="2320"/>
        <w:gridCol w:w="1874"/>
        <w:gridCol w:w="1900"/>
        <w:gridCol w:w="1735"/>
      </w:tblGrid>
      <w:tr w:rsidR="00A626A9" w:rsidRPr="00A626A9" w:rsidTr="00A626A9">
        <w:trPr>
          <w:trHeight w:val="31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  <w:t>Partner_ID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  <w:t>Partner_Name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Stock_Date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Stock_City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Stock_City_Kladr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  <w:t>Reference_Code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Stock_Level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A626A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Purchase_Price</w:t>
            </w:r>
            <w:proofErr w:type="spellEnd"/>
          </w:p>
        </w:tc>
      </w:tr>
      <w:tr w:rsidR="00A626A9" w:rsidRPr="00A626A9" w:rsidTr="00A626A9">
        <w:trPr>
          <w:trHeight w:val="289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A626A9">
              <w:rPr>
                <w:rFonts w:eastAsia="Times New Roman"/>
                <w:sz w:val="22"/>
                <w:szCs w:val="22"/>
                <w:lang w:eastAsia="ru-RU"/>
              </w:rPr>
              <w:t>1000089363 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A626A9">
              <w:rPr>
                <w:rFonts w:eastAsia="Times New Roman"/>
                <w:sz w:val="22"/>
                <w:szCs w:val="22"/>
                <w:lang w:eastAsia="ru-RU"/>
              </w:rPr>
              <w:t>ООО "Компания СТТ"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30.09.2020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A9" w:rsidRPr="00A626A9" w:rsidRDefault="00A626A9" w:rsidP="00A626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26A9">
              <w:rPr>
                <w:rFonts w:eastAsia="Times New Roman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5400000100000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11016DEK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168,378</w:t>
            </w:r>
          </w:p>
        </w:tc>
      </w:tr>
      <w:tr w:rsidR="00A626A9" w:rsidRPr="00A626A9" w:rsidTr="00A626A9">
        <w:trPr>
          <w:trHeight w:val="289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A626A9">
              <w:rPr>
                <w:rFonts w:eastAsia="Times New Roman"/>
                <w:sz w:val="22"/>
                <w:szCs w:val="22"/>
                <w:lang w:eastAsia="ru-RU"/>
              </w:rPr>
              <w:t>1000089363 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A626A9">
              <w:rPr>
                <w:rFonts w:eastAsia="Times New Roman"/>
                <w:sz w:val="22"/>
                <w:szCs w:val="22"/>
                <w:lang w:eastAsia="ru-RU"/>
              </w:rPr>
              <w:t>ООО "Компания СТТ"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30.09.2020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A9" w:rsidRPr="00A626A9" w:rsidRDefault="00A626A9" w:rsidP="00A626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26A9">
              <w:rPr>
                <w:rFonts w:eastAsia="Times New Roman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5400000100000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11020DEK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6A9" w:rsidRPr="00A626A9" w:rsidRDefault="00A626A9" w:rsidP="00A626A9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169,974</w:t>
            </w:r>
          </w:p>
        </w:tc>
      </w:tr>
    </w:tbl>
    <w:p w:rsidR="00A626A9" w:rsidRDefault="00A626A9">
      <w:r>
        <w:lastRenderedPageBreak/>
        <w:t>1-ая, 2-ая, 4-ая и 5-ая колонки имеют одни и те же данные</w:t>
      </w:r>
    </w:p>
    <w:p w:rsidR="00A626A9" w:rsidRDefault="00A626A9">
      <w:r>
        <w:t>3-ая колонка дата конца периода, указанного в отчете</w:t>
      </w:r>
    </w:p>
    <w:p w:rsidR="00A626A9" w:rsidRDefault="00A626A9">
      <w:r>
        <w:t>6-ая – артикул товара (берем из справочника номенклатуры)</w:t>
      </w:r>
    </w:p>
    <w:p w:rsidR="00A626A9" w:rsidRDefault="00A626A9">
      <w:r>
        <w:t xml:space="preserve">7-ая – количество </w:t>
      </w:r>
      <w:r w:rsidRPr="00A626A9">
        <w:t>(алгоритм заполнения будет описан ниже)</w:t>
      </w:r>
    </w:p>
    <w:p w:rsidR="00A626A9" w:rsidRDefault="00A626A9">
      <w:r>
        <w:t>8-ая - закупочная цена (</w:t>
      </w:r>
      <w:r w:rsidR="00BA222D" w:rsidRPr="00A626A9">
        <w:t>алгоритм заполнения будет описан ниже</w:t>
      </w:r>
      <w:r>
        <w:t>).</w:t>
      </w:r>
    </w:p>
    <w:p w:rsidR="00A626A9" w:rsidRDefault="00A626A9"/>
    <w:p w:rsidR="00BA222D" w:rsidRDefault="00BA222D">
      <w:r>
        <w:t xml:space="preserve">Для работы отчета нужна дополнительная таблица. Ее надо загрузить из </w:t>
      </w:r>
      <w:proofErr w:type="spellStart"/>
      <w:r>
        <w:t>Ексель</w:t>
      </w:r>
      <w:proofErr w:type="spellEnd"/>
      <w:r>
        <w:t>, но если на обработку уйдет много времени, то мы сможем набить ее вручную, т.к. она практически не будет меняться, то сделать это надо будет 1-н раз. Структура таблицы</w:t>
      </w:r>
    </w:p>
    <w:tbl>
      <w:tblPr>
        <w:tblStyle w:val="a3"/>
        <w:tblW w:w="0" w:type="auto"/>
        <w:tblLook w:val="04A0"/>
      </w:tblPr>
      <w:tblGrid>
        <w:gridCol w:w="2376"/>
        <w:gridCol w:w="1985"/>
        <w:gridCol w:w="2126"/>
      </w:tblGrid>
      <w:tr w:rsidR="00BA222D" w:rsidTr="00D345B4">
        <w:tc>
          <w:tcPr>
            <w:tcW w:w="2376" w:type="dxa"/>
            <w:vAlign w:val="center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szCs w:val="24"/>
                <w:lang w:eastAsia="ru-RU"/>
              </w:rPr>
              <w:t>Артикул</w:t>
            </w:r>
          </w:p>
        </w:tc>
        <w:tc>
          <w:tcPr>
            <w:tcW w:w="1985" w:type="dxa"/>
            <w:vAlign w:val="bottom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Количество</w:t>
            </w:r>
          </w:p>
        </w:tc>
        <w:tc>
          <w:tcPr>
            <w:tcW w:w="2126" w:type="dxa"/>
            <w:vAlign w:val="bottom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ru-RU"/>
              </w:rPr>
              <w:t>Цена</w:t>
            </w:r>
          </w:p>
        </w:tc>
      </w:tr>
      <w:tr w:rsidR="00BA222D" w:rsidTr="00D345B4">
        <w:tc>
          <w:tcPr>
            <w:tcW w:w="2376" w:type="dxa"/>
            <w:vAlign w:val="bottom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11016DEK</w:t>
            </w:r>
          </w:p>
        </w:tc>
        <w:tc>
          <w:tcPr>
            <w:tcW w:w="1985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26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168,378</w:t>
            </w:r>
          </w:p>
        </w:tc>
      </w:tr>
      <w:tr w:rsidR="00BA222D" w:rsidTr="00D345B4">
        <w:tc>
          <w:tcPr>
            <w:tcW w:w="2376" w:type="dxa"/>
            <w:vAlign w:val="bottom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11020DEK</w:t>
            </w:r>
          </w:p>
        </w:tc>
        <w:tc>
          <w:tcPr>
            <w:tcW w:w="1985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169,974</w:t>
            </w:r>
          </w:p>
        </w:tc>
      </w:tr>
      <w:tr w:rsidR="00BA222D" w:rsidTr="00D345B4">
        <w:tc>
          <w:tcPr>
            <w:tcW w:w="2376" w:type="dxa"/>
            <w:vAlign w:val="bottom"/>
          </w:tcPr>
          <w:p w:rsidR="00BA222D" w:rsidRPr="00A626A9" w:rsidRDefault="00BA222D" w:rsidP="00D206DC">
            <w:pPr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11021DEK</w:t>
            </w:r>
          </w:p>
        </w:tc>
        <w:tc>
          <w:tcPr>
            <w:tcW w:w="1985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BA222D" w:rsidRPr="00A626A9" w:rsidRDefault="00BA222D" w:rsidP="00D206D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626A9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173,964</w:t>
            </w:r>
          </w:p>
        </w:tc>
      </w:tr>
    </w:tbl>
    <w:p w:rsidR="00BA222D" w:rsidRDefault="00BA222D">
      <w:r>
        <w:t xml:space="preserve">Данные </w:t>
      </w:r>
      <w:r w:rsidR="00F953ED">
        <w:t>выводимые</w:t>
      </w:r>
      <w:r>
        <w:t xml:space="preserve"> в отчет это сумма остатков по указанному производителю на конец периода отчета и остатков в дополнительной таблице. Правила суммирования</w:t>
      </w:r>
    </w:p>
    <w:p w:rsidR="00BA222D" w:rsidRDefault="00BA222D">
      <w:r>
        <w:t xml:space="preserve">Если товар есть только на остатках, то </w:t>
      </w:r>
    </w:p>
    <w:p w:rsidR="00BA222D" w:rsidRDefault="00BA222D">
      <w:r>
        <w:t>7-ая колонка количество = остаток</w:t>
      </w:r>
    </w:p>
    <w:p w:rsidR="00A626A9" w:rsidRDefault="00BA222D">
      <w:r>
        <w:t xml:space="preserve">8-ая – себестоимость единицы товара (себестоимость из отчета Валовая прибыль </w:t>
      </w:r>
      <w:proofErr w:type="gramStart"/>
      <w:r>
        <w:t>предприятия</w:t>
      </w:r>
      <w:proofErr w:type="gramEnd"/>
      <w:r>
        <w:t xml:space="preserve"> деленная на количество проданного</w:t>
      </w:r>
      <w:r w:rsidR="00D70252">
        <w:t>, аналогично отчету №1</w:t>
      </w:r>
      <w:r>
        <w:t>)</w:t>
      </w:r>
    </w:p>
    <w:p w:rsidR="00BA222D" w:rsidRDefault="00BA222D">
      <w:r>
        <w:t>Если товар есть только в дополнительной таблице, то</w:t>
      </w:r>
    </w:p>
    <w:p w:rsidR="00BA222D" w:rsidRDefault="00BA222D" w:rsidP="00BA222D">
      <w:r>
        <w:t>7-ая колонка количество = остаток в таблице</w:t>
      </w:r>
    </w:p>
    <w:p w:rsidR="00BA222D" w:rsidRDefault="00BA222D" w:rsidP="00BA222D">
      <w:r>
        <w:t>8-ая – себестоимость = цена в таблице</w:t>
      </w:r>
    </w:p>
    <w:p w:rsidR="00BA222D" w:rsidRDefault="00BA222D" w:rsidP="00BA222D">
      <w:r>
        <w:t>Если есть и там и там, то</w:t>
      </w:r>
    </w:p>
    <w:p w:rsidR="00BA222D" w:rsidRDefault="00BA222D" w:rsidP="00BA222D">
      <w:r>
        <w:t xml:space="preserve">7-ая колонка количество = остаток + </w:t>
      </w:r>
      <w:proofErr w:type="gramStart"/>
      <w:r>
        <w:t>остаток</w:t>
      </w:r>
      <w:proofErr w:type="gramEnd"/>
      <w:r>
        <w:t xml:space="preserve"> в таблице</w:t>
      </w:r>
    </w:p>
    <w:p w:rsidR="00BA222D" w:rsidRDefault="00BA222D" w:rsidP="00BA222D">
      <w:r>
        <w:t>8-ая – себестоимость = (остаток *</w:t>
      </w:r>
      <w:r w:rsidRPr="00BA222D">
        <w:t xml:space="preserve"> </w:t>
      </w:r>
      <w:r>
        <w:t xml:space="preserve">себестоимость единицы товара + остаток в таблице * цена в таблице) / (остаток + </w:t>
      </w:r>
      <w:proofErr w:type="gramStart"/>
      <w:r>
        <w:t>остаток</w:t>
      </w:r>
      <w:proofErr w:type="gramEnd"/>
      <w:r>
        <w:t xml:space="preserve"> в таблице)</w:t>
      </w:r>
    </w:p>
    <w:p w:rsidR="00A626A9" w:rsidRDefault="00A626A9"/>
    <w:p w:rsidR="00BA222D" w:rsidRDefault="00BA222D"/>
    <w:p w:rsidR="00BA222D" w:rsidRDefault="00BA222D"/>
    <w:p w:rsidR="0062641D" w:rsidRPr="00A1057B" w:rsidRDefault="00A626A9">
      <w:r>
        <w:t>Примечание</w:t>
      </w:r>
      <w:r w:rsidRPr="00A626A9">
        <w:t xml:space="preserve">: </w:t>
      </w:r>
      <w:r w:rsidR="0062641D">
        <w:t xml:space="preserve">Все списки и таблицы надо либо хранить во внешних файлах, либо в конфигурации. </w:t>
      </w:r>
      <w:r w:rsidR="00D70252">
        <w:t>Сам отчет и способ хранения таблиц (данных) долж</w:t>
      </w:r>
      <w:r w:rsidR="0062641D">
        <w:t>н</w:t>
      </w:r>
      <w:r w:rsidR="00D70252">
        <w:t>ы</w:t>
      </w:r>
      <w:r w:rsidR="0062641D">
        <w:t xml:space="preserve"> как можно меньше затруднять процедуру объединения конфигу</w:t>
      </w:r>
      <w:r w:rsidR="00D70252">
        <w:t xml:space="preserve">рации до более высокой версии. </w:t>
      </w:r>
    </w:p>
    <w:sectPr w:rsidR="0062641D" w:rsidRPr="00A1057B" w:rsidSect="001E2698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2698"/>
    <w:rsid w:val="000E075A"/>
    <w:rsid w:val="001E2698"/>
    <w:rsid w:val="003660C7"/>
    <w:rsid w:val="003D50BC"/>
    <w:rsid w:val="00454323"/>
    <w:rsid w:val="00585D45"/>
    <w:rsid w:val="0061009F"/>
    <w:rsid w:val="0062641D"/>
    <w:rsid w:val="006304D4"/>
    <w:rsid w:val="006A5CA6"/>
    <w:rsid w:val="008F5D9E"/>
    <w:rsid w:val="00970252"/>
    <w:rsid w:val="009C3CB2"/>
    <w:rsid w:val="00A1057B"/>
    <w:rsid w:val="00A626A9"/>
    <w:rsid w:val="00BA222D"/>
    <w:rsid w:val="00C51132"/>
    <w:rsid w:val="00D70252"/>
    <w:rsid w:val="00DB72D2"/>
    <w:rsid w:val="00EE5CB8"/>
    <w:rsid w:val="00F953ED"/>
    <w:rsid w:val="00FA089F"/>
    <w:rsid w:val="00FE1C1B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7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A1B3F-66E6-48AB-A5E6-00931F20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14</cp:revision>
  <dcterms:created xsi:type="dcterms:W3CDTF">2020-11-04T06:40:00Z</dcterms:created>
  <dcterms:modified xsi:type="dcterms:W3CDTF">2020-11-13T02:29:00Z</dcterms:modified>
</cp:coreProperties>
</file>