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46C58B86" w:rsidR="00B60ABD" w:rsidRPr="000F2C92" w:rsidRDefault="00685450" w:rsidP="0076777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ей</w:t>
      </w:r>
      <w:r w:rsidR="0030617E" w:rsidRPr="0030617E">
        <w:t xml:space="preserve"> 1С:Бухгалтерия предприятия, ред</w:t>
      </w:r>
      <w:r w:rsidR="0030617E">
        <w:t>.</w:t>
      </w:r>
      <w:r w:rsidR="0030617E" w:rsidRPr="0030617E">
        <w:t xml:space="preserve"> 2.0 (со встроенным модулем CRM)</w:t>
      </w:r>
    </w:p>
    <w:p w14:paraId="717A9E35" w14:textId="4C715E70" w:rsidR="00B64A43" w:rsidRDefault="0030617E" w:rsidP="00767774">
      <w:pPr>
        <w:pStyle w:val="1"/>
      </w:pPr>
      <w:bookmarkStart w:id="0" w:name="_Toc108795609"/>
      <w:r>
        <w:t>Доработка документа «Акт об оказании производственных услуг»</w:t>
      </w:r>
      <w:bookmarkEnd w:id="0"/>
    </w:p>
    <w:p w14:paraId="3440DDE2" w14:textId="1E3BC13E" w:rsidR="0030617E" w:rsidRDefault="00557D32" w:rsidP="0030617E">
      <w:r>
        <w:t>Добавить в форму документа, на вкладке «Дополнительно» реквизит «Продукт» (тип – строка).</w:t>
      </w:r>
    </w:p>
    <w:p w14:paraId="39F07B74" w14:textId="04CBDE8A" w:rsidR="00557D32" w:rsidRDefault="00557D32" w:rsidP="0030617E">
      <w:r>
        <w:rPr>
          <w:noProof/>
          <w:lang w:eastAsia="ru-RU"/>
        </w:rPr>
        <w:drawing>
          <wp:inline distT="0" distB="0" distL="0" distR="0" wp14:anchorId="1C250FEE" wp14:editId="41DCAB04">
            <wp:extent cx="6299835" cy="26111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1763" w14:textId="71D773C6" w:rsidR="00557D32" w:rsidRDefault="00557D32" w:rsidP="009E15E2">
      <w:r>
        <w:t xml:space="preserve">Реквизит заполняется значением из реквизита «Продукт» (перечисление </w:t>
      </w:r>
      <w:proofErr w:type="spellStart"/>
      <w:r>
        <w:t>БИТ_Продукты</w:t>
      </w:r>
      <w:proofErr w:type="spellEnd"/>
      <w:r>
        <w:t xml:space="preserve">) из документа «Предложение», на </w:t>
      </w:r>
      <w:r w:rsidR="009E15E2">
        <w:rPr>
          <w:noProof/>
          <w:lang w:eastAsia="ru-RU"/>
        </w:rPr>
        <w:drawing>
          <wp:inline distT="0" distB="0" distL="0" distR="0" wp14:anchorId="0E3ECABD" wp14:editId="3A4E8C10">
            <wp:extent cx="6299835" cy="119824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основании которого создан акт. </w:t>
      </w:r>
    </w:p>
    <w:p w14:paraId="4999930B" w14:textId="72601AC0" w:rsidR="00557D32" w:rsidRPr="0030617E" w:rsidRDefault="00557D32" w:rsidP="0030617E">
      <w:r>
        <w:t>Реквизит может быть пустым, если нет документа-основания. Недоступен для редактирования.</w:t>
      </w:r>
    </w:p>
    <w:p w14:paraId="2D16D46C" w14:textId="1EBF3B3F" w:rsidR="004C2ACB" w:rsidRDefault="00F30923" w:rsidP="002F13C7">
      <w:pPr>
        <w:pStyle w:val="1"/>
      </w:pPr>
      <w:bookmarkStart w:id="1" w:name="_Toc108795610"/>
      <w:r>
        <w:t>Внешний</w:t>
      </w:r>
      <w:r w:rsidR="00344313">
        <w:t xml:space="preserve"> отчет</w:t>
      </w:r>
      <w:r w:rsidR="002F13C7">
        <w:t xml:space="preserve"> «</w:t>
      </w:r>
      <w:r w:rsidR="002F13C7" w:rsidRPr="002F13C7">
        <w:t>Контроль за номенклатурой</w:t>
      </w:r>
      <w:r w:rsidR="002F13C7">
        <w:t>»</w:t>
      </w:r>
      <w:bookmarkEnd w:id="1"/>
    </w:p>
    <w:p w14:paraId="12D9A218" w14:textId="3A8BDAED" w:rsidR="00B5513B" w:rsidRPr="00344313" w:rsidRDefault="00F30923" w:rsidP="00F30923">
      <w:r>
        <w:t>Внешний</w:t>
      </w:r>
      <w:r w:rsidR="00A56C51">
        <w:t xml:space="preserve"> отчет должны быть сделан</w:t>
      </w:r>
      <w:r w:rsidR="00344313">
        <w:t xml:space="preserve"> в системе компоновки данных (СКД). </w:t>
      </w:r>
      <w:r w:rsidR="00344313" w:rsidRPr="00344313">
        <w:t>Должны быть доступны все типовые функции, по печати, отправки, сохранению отчета и т.д.</w:t>
      </w:r>
    </w:p>
    <w:p w14:paraId="2829417D" w14:textId="77777777" w:rsidR="00344313" w:rsidRPr="00344313" w:rsidRDefault="00344313" w:rsidP="00344313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2" w:name="_Toc108087976"/>
      <w:bookmarkStart w:id="3" w:name="_Toc108441543"/>
      <w:bookmarkStart w:id="4" w:name="_Toc108441564"/>
      <w:bookmarkStart w:id="5" w:name="_Toc108520589"/>
      <w:bookmarkStart w:id="6" w:name="_Toc108782545"/>
      <w:bookmarkStart w:id="7" w:name="_Toc108795611"/>
      <w:bookmarkEnd w:id="2"/>
      <w:bookmarkEnd w:id="3"/>
      <w:bookmarkEnd w:id="4"/>
      <w:bookmarkEnd w:id="5"/>
      <w:bookmarkEnd w:id="6"/>
      <w:bookmarkEnd w:id="7"/>
    </w:p>
    <w:p w14:paraId="655424E5" w14:textId="4942D8DF" w:rsidR="00A56C51" w:rsidRDefault="00C87D98" w:rsidP="007F52A3">
      <w:r>
        <w:t>В отчет попадает информация о</w:t>
      </w:r>
      <w:r w:rsidR="005337B9">
        <w:t xml:space="preserve"> проведенных</w:t>
      </w:r>
      <w:r w:rsidR="009E15E2">
        <w:t xml:space="preserve"> «А</w:t>
      </w:r>
      <w:r w:rsidR="007F52A3">
        <w:t>ктах об оказании производственных услуг</w:t>
      </w:r>
      <w:r w:rsidR="009E15E2">
        <w:t>»</w:t>
      </w:r>
      <w:r w:rsidR="007F52A3">
        <w:t xml:space="preserve"> и о номенклатуре, используемой в этих актах</w:t>
      </w:r>
      <w:r w:rsidR="00A56C51">
        <w:t>.</w:t>
      </w:r>
    </w:p>
    <w:p w14:paraId="6818585B" w14:textId="3859D657" w:rsidR="00A56C51" w:rsidRDefault="00A56C51" w:rsidP="00A56C51">
      <w:r>
        <w:t>Группировк</w:t>
      </w:r>
      <w:r w:rsidR="002F13C7">
        <w:t>и</w:t>
      </w:r>
      <w:r>
        <w:t xml:space="preserve"> отчет</w:t>
      </w:r>
      <w:r w:rsidR="002F13C7">
        <w:t>а:</w:t>
      </w:r>
    </w:p>
    <w:p w14:paraId="6DEB3971" w14:textId="77777777" w:rsidR="002F13C7" w:rsidRDefault="002F13C7" w:rsidP="002F13C7">
      <w:pPr>
        <w:pStyle w:val="af6"/>
        <w:numPr>
          <w:ilvl w:val="0"/>
          <w:numId w:val="29"/>
        </w:numPr>
      </w:pPr>
      <w:r>
        <w:t>Акт об оказании производственных услуг</w:t>
      </w:r>
    </w:p>
    <w:p w14:paraId="378D0732" w14:textId="740799AF" w:rsidR="002F13C7" w:rsidRPr="007E462D" w:rsidRDefault="002F13C7" w:rsidP="002F13C7">
      <w:pPr>
        <w:pStyle w:val="af6"/>
        <w:numPr>
          <w:ilvl w:val="0"/>
          <w:numId w:val="29"/>
        </w:numPr>
      </w:pPr>
      <w:r>
        <w:t>Номенклатура</w:t>
      </w:r>
    </w:p>
    <w:p w14:paraId="7773F5C2" w14:textId="67448056" w:rsidR="00C87D98" w:rsidRDefault="00C87D98" w:rsidP="00344313">
      <w:r>
        <w:lastRenderedPageBreak/>
        <w:t>Отборы отчета:</w:t>
      </w:r>
    </w:p>
    <w:p w14:paraId="4797D261" w14:textId="77777777" w:rsidR="007F52A3" w:rsidRDefault="007F52A3" w:rsidP="007F52A3">
      <w:pPr>
        <w:pStyle w:val="af6"/>
        <w:numPr>
          <w:ilvl w:val="0"/>
          <w:numId w:val="25"/>
        </w:numPr>
      </w:pPr>
      <w:r>
        <w:t>Период</w:t>
      </w:r>
    </w:p>
    <w:p w14:paraId="266EB326" w14:textId="77777777" w:rsidR="007F52A3" w:rsidRDefault="007F52A3" w:rsidP="007F52A3">
      <w:pPr>
        <w:pStyle w:val="af6"/>
        <w:numPr>
          <w:ilvl w:val="0"/>
          <w:numId w:val="25"/>
        </w:numPr>
      </w:pPr>
      <w:r>
        <w:t>Номенклатура</w:t>
      </w:r>
    </w:p>
    <w:p w14:paraId="7FDB7F75" w14:textId="59D3B970" w:rsidR="007F52A3" w:rsidRDefault="007F52A3" w:rsidP="007F52A3">
      <w:pPr>
        <w:pStyle w:val="af6"/>
        <w:numPr>
          <w:ilvl w:val="0"/>
          <w:numId w:val="25"/>
        </w:numPr>
      </w:pPr>
      <w:r>
        <w:t>Статья доходов (расходов)</w:t>
      </w:r>
    </w:p>
    <w:p w14:paraId="22B5B6B9" w14:textId="77777777" w:rsidR="007F52A3" w:rsidRDefault="007F52A3" w:rsidP="007F52A3">
      <w:pPr>
        <w:pStyle w:val="af6"/>
        <w:numPr>
          <w:ilvl w:val="0"/>
          <w:numId w:val="25"/>
        </w:numPr>
      </w:pPr>
      <w:r>
        <w:t>Ответственный</w:t>
      </w:r>
    </w:p>
    <w:p w14:paraId="2DBC8CA8" w14:textId="77777777" w:rsidR="007F52A3" w:rsidRDefault="007F52A3" w:rsidP="007F52A3">
      <w:pPr>
        <w:pStyle w:val="af6"/>
        <w:numPr>
          <w:ilvl w:val="0"/>
          <w:numId w:val="25"/>
        </w:numPr>
      </w:pPr>
      <w:r>
        <w:t>Продукт</w:t>
      </w:r>
    </w:p>
    <w:p w14:paraId="5AC4F83C" w14:textId="1103A091" w:rsidR="00C87D98" w:rsidRDefault="00C87D98" w:rsidP="00C87D98">
      <w:r>
        <w:t>Реквизиты отчета: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122"/>
        <w:gridCol w:w="7364"/>
      </w:tblGrid>
      <w:tr w:rsidR="00C87D98" w14:paraId="5331258A" w14:textId="77777777" w:rsidTr="00B06BBE">
        <w:tc>
          <w:tcPr>
            <w:tcW w:w="2122" w:type="dxa"/>
            <w:vAlign w:val="center"/>
          </w:tcPr>
          <w:p w14:paraId="5FFCB3B2" w14:textId="053146F7" w:rsidR="00C87D98" w:rsidRDefault="00C87D98" w:rsidP="00C87D98">
            <w:pPr>
              <w:pStyle w:val="af5"/>
            </w:pPr>
            <w:r w:rsidRPr="00937A3B">
              <w:t>Наименование реквизита</w:t>
            </w:r>
          </w:p>
        </w:tc>
        <w:tc>
          <w:tcPr>
            <w:tcW w:w="7364" w:type="dxa"/>
            <w:vAlign w:val="center"/>
          </w:tcPr>
          <w:p w14:paraId="7C869C8F" w14:textId="4E7C195E" w:rsidR="00C87D98" w:rsidRDefault="00C87D98" w:rsidP="00C87D98">
            <w:pPr>
              <w:pStyle w:val="af5"/>
            </w:pPr>
            <w:r w:rsidRPr="00937A3B">
              <w:t>Заполнение реквизита</w:t>
            </w:r>
          </w:p>
        </w:tc>
      </w:tr>
      <w:tr w:rsidR="00B06BBE" w14:paraId="184C3F13" w14:textId="77777777" w:rsidTr="00B06BBE">
        <w:tc>
          <w:tcPr>
            <w:tcW w:w="2122" w:type="dxa"/>
          </w:tcPr>
          <w:p w14:paraId="1F7A0842" w14:textId="596692BC" w:rsidR="00B06BBE" w:rsidRDefault="005337B9" w:rsidP="00B06BBE">
            <w:pPr>
              <w:pStyle w:val="af4"/>
            </w:pPr>
            <w:r>
              <w:t>Акт</w:t>
            </w:r>
          </w:p>
        </w:tc>
        <w:tc>
          <w:tcPr>
            <w:tcW w:w="7364" w:type="dxa"/>
          </w:tcPr>
          <w:p w14:paraId="5259EAD1" w14:textId="77777777" w:rsidR="00B06BBE" w:rsidRDefault="005337B9" w:rsidP="00B06BBE">
            <w:pPr>
              <w:pStyle w:val="af4"/>
            </w:pPr>
            <w:r>
              <w:t>Документ «Акт об оказании производственных услуг».</w:t>
            </w:r>
          </w:p>
          <w:p w14:paraId="279B9FC0" w14:textId="449AF602" w:rsidR="002D62DA" w:rsidRDefault="005337B9" w:rsidP="00B06BBE">
            <w:pPr>
              <w:pStyle w:val="af4"/>
            </w:pPr>
            <w:r>
              <w:t>По клику открывается документ</w:t>
            </w:r>
            <w:r w:rsidR="002D62DA">
              <w:t>.</w:t>
            </w:r>
          </w:p>
        </w:tc>
      </w:tr>
      <w:tr w:rsidR="00B06BBE" w14:paraId="75BCB3D2" w14:textId="77777777" w:rsidTr="00B06BBE">
        <w:tc>
          <w:tcPr>
            <w:tcW w:w="2122" w:type="dxa"/>
          </w:tcPr>
          <w:p w14:paraId="4F7A7100" w14:textId="3440848B" w:rsidR="00B06BBE" w:rsidRDefault="00B06BBE" w:rsidP="002D62DA">
            <w:pPr>
              <w:pStyle w:val="af4"/>
            </w:pPr>
            <w:r>
              <w:t>Н</w:t>
            </w:r>
            <w:r w:rsidR="002D62DA">
              <w:t>оменклатура</w:t>
            </w:r>
          </w:p>
        </w:tc>
        <w:tc>
          <w:tcPr>
            <w:tcW w:w="7364" w:type="dxa"/>
          </w:tcPr>
          <w:p w14:paraId="274DFBAC" w14:textId="4B5D0656" w:rsidR="00B06BBE" w:rsidRDefault="00B06BBE" w:rsidP="002D62DA">
            <w:pPr>
              <w:pStyle w:val="af4"/>
            </w:pPr>
            <w:r>
              <w:t xml:space="preserve">Справочник «Номенклатура», </w:t>
            </w:r>
            <w:r w:rsidR="003F4651">
              <w:t>элементы,</w:t>
            </w:r>
            <w:r>
              <w:t xml:space="preserve"> </w:t>
            </w:r>
            <w:r w:rsidR="002D62DA">
              <w:t>выбранные в табличной части «Услуги» по акту.</w:t>
            </w:r>
          </w:p>
        </w:tc>
      </w:tr>
      <w:tr w:rsidR="00B06BBE" w14:paraId="37D9A070" w14:textId="77777777" w:rsidTr="00B06BBE">
        <w:tc>
          <w:tcPr>
            <w:tcW w:w="2122" w:type="dxa"/>
          </w:tcPr>
          <w:p w14:paraId="401C89D4" w14:textId="29DC9A9F" w:rsidR="00B06BBE" w:rsidRDefault="002D62DA" w:rsidP="00B06BBE">
            <w:pPr>
              <w:pStyle w:val="af4"/>
            </w:pPr>
            <w:r w:rsidRPr="002D62DA">
              <w:t>Статья доходов и расходов</w:t>
            </w:r>
          </w:p>
        </w:tc>
        <w:tc>
          <w:tcPr>
            <w:tcW w:w="7364" w:type="dxa"/>
          </w:tcPr>
          <w:p w14:paraId="21E06043" w14:textId="07CC07AE" w:rsidR="00B06BBE" w:rsidRDefault="00992CC7" w:rsidP="00992CC7">
            <w:pPr>
              <w:pStyle w:val="af4"/>
            </w:pPr>
            <w:r>
              <w:t>Справочник «Статьи расходов и доходов (БИТ)», элемент, установленный для соответствующей номенклатуры.</w:t>
            </w:r>
          </w:p>
        </w:tc>
      </w:tr>
      <w:tr w:rsidR="00B06BBE" w14:paraId="436A8FC7" w14:textId="77777777" w:rsidTr="00B06BBE">
        <w:tc>
          <w:tcPr>
            <w:tcW w:w="2122" w:type="dxa"/>
          </w:tcPr>
          <w:p w14:paraId="32ECC813" w14:textId="54377421" w:rsidR="00B06BBE" w:rsidRDefault="002D62DA" w:rsidP="00B06BBE">
            <w:pPr>
              <w:pStyle w:val="af4"/>
            </w:pPr>
            <w:r>
              <w:t>Сумма</w:t>
            </w:r>
          </w:p>
        </w:tc>
        <w:tc>
          <w:tcPr>
            <w:tcW w:w="7364" w:type="dxa"/>
          </w:tcPr>
          <w:p w14:paraId="40C43D25" w14:textId="7F101411" w:rsidR="00B06BBE" w:rsidRDefault="002D62DA" w:rsidP="002D62DA">
            <w:pPr>
              <w:pStyle w:val="af4"/>
            </w:pPr>
            <w:r>
              <w:t>Значение столбца «Сумма» в табличной части «Услуги» по соответствующей номенклатуре</w:t>
            </w:r>
            <w:r w:rsidR="00B06BBE" w:rsidRPr="007B5E0F">
              <w:t>.</w:t>
            </w:r>
          </w:p>
        </w:tc>
      </w:tr>
      <w:tr w:rsidR="002D62DA" w14:paraId="1015718E" w14:textId="77777777" w:rsidTr="00B06BBE">
        <w:tc>
          <w:tcPr>
            <w:tcW w:w="2122" w:type="dxa"/>
          </w:tcPr>
          <w:p w14:paraId="3DC55096" w14:textId="21C3D44B" w:rsidR="002D62DA" w:rsidRDefault="002D62DA" w:rsidP="00B06BBE">
            <w:pPr>
              <w:pStyle w:val="af4"/>
            </w:pPr>
            <w:r w:rsidRPr="002D62DA">
              <w:t>Содержание (БИТ)</w:t>
            </w:r>
          </w:p>
        </w:tc>
        <w:tc>
          <w:tcPr>
            <w:tcW w:w="7364" w:type="dxa"/>
          </w:tcPr>
          <w:p w14:paraId="55B15BA3" w14:textId="09A05135" w:rsidR="002D62DA" w:rsidRDefault="002D62DA" w:rsidP="002D62DA">
            <w:pPr>
              <w:pStyle w:val="af4"/>
            </w:pPr>
            <w:r>
              <w:t>Значение столбца «</w:t>
            </w:r>
            <w:r w:rsidRPr="002D62DA">
              <w:t>Содержание (БИТ)</w:t>
            </w:r>
            <w:r>
              <w:t>» в табличной части «Услуги» по соответствующей номенклатуре</w:t>
            </w:r>
            <w:r w:rsidRPr="007B5E0F">
              <w:t>.</w:t>
            </w:r>
          </w:p>
        </w:tc>
      </w:tr>
      <w:tr w:rsidR="006C1F6E" w14:paraId="43296B5F" w14:textId="77777777" w:rsidTr="00B06BBE">
        <w:tc>
          <w:tcPr>
            <w:tcW w:w="2122" w:type="dxa"/>
          </w:tcPr>
          <w:p w14:paraId="6274EA8F" w14:textId="2708FA5F" w:rsidR="006C1F6E" w:rsidRPr="002D62DA" w:rsidRDefault="006C1F6E" w:rsidP="00B06BBE">
            <w:pPr>
              <w:pStyle w:val="af4"/>
            </w:pPr>
            <w:r>
              <w:t>Итого</w:t>
            </w:r>
          </w:p>
        </w:tc>
        <w:tc>
          <w:tcPr>
            <w:tcW w:w="7364" w:type="dxa"/>
          </w:tcPr>
          <w:p w14:paraId="3A575374" w14:textId="682F1225" w:rsidR="006C1F6E" w:rsidRDefault="006C1F6E" w:rsidP="006C1F6E">
            <w:pPr>
              <w:pStyle w:val="af4"/>
            </w:pPr>
            <w:r>
              <w:t>Сумма по всем актам</w:t>
            </w:r>
            <w:r w:rsidR="00B369B3">
              <w:t>.</w:t>
            </w:r>
          </w:p>
        </w:tc>
      </w:tr>
      <w:tr w:rsidR="006C1F6E" w14:paraId="1C4B267C" w14:textId="77777777" w:rsidTr="00B06BBE">
        <w:tc>
          <w:tcPr>
            <w:tcW w:w="2122" w:type="dxa"/>
          </w:tcPr>
          <w:p w14:paraId="293C6863" w14:textId="0A10157A" w:rsidR="006C1F6E" w:rsidRDefault="006C1F6E" w:rsidP="00B06BBE">
            <w:pPr>
              <w:pStyle w:val="af4"/>
            </w:pPr>
            <w:r>
              <w:t>Ответственный</w:t>
            </w:r>
          </w:p>
        </w:tc>
        <w:tc>
          <w:tcPr>
            <w:tcW w:w="7364" w:type="dxa"/>
          </w:tcPr>
          <w:p w14:paraId="0D7D55A4" w14:textId="70D8132B" w:rsidR="006C1F6E" w:rsidRDefault="00B369B3" w:rsidP="00B369B3">
            <w:pPr>
              <w:pStyle w:val="af4"/>
            </w:pPr>
            <w:r>
              <w:t>Справочник «Пользователи», отбирается по р</w:t>
            </w:r>
            <w:r w:rsidR="006C1F6E">
              <w:t>еквизит</w:t>
            </w:r>
            <w:r>
              <w:t>у</w:t>
            </w:r>
            <w:r w:rsidR="006C1F6E">
              <w:t xml:space="preserve"> «Ответственный» в актах</w:t>
            </w:r>
            <w:r>
              <w:t>.</w:t>
            </w:r>
          </w:p>
        </w:tc>
      </w:tr>
      <w:tr w:rsidR="006C1F6E" w14:paraId="47530619" w14:textId="77777777" w:rsidTr="00B06BBE">
        <w:tc>
          <w:tcPr>
            <w:tcW w:w="2122" w:type="dxa"/>
          </w:tcPr>
          <w:p w14:paraId="7AC34249" w14:textId="571DC473" w:rsidR="006C1F6E" w:rsidRDefault="006C1F6E" w:rsidP="00B06BBE">
            <w:pPr>
              <w:pStyle w:val="af4"/>
            </w:pPr>
            <w:r>
              <w:t>Продукт</w:t>
            </w:r>
          </w:p>
        </w:tc>
        <w:tc>
          <w:tcPr>
            <w:tcW w:w="7364" w:type="dxa"/>
          </w:tcPr>
          <w:p w14:paraId="2FD2DC1D" w14:textId="2C6450E2" w:rsidR="006C1F6E" w:rsidRDefault="00B369B3" w:rsidP="006C1F6E">
            <w:pPr>
              <w:pStyle w:val="af4"/>
            </w:pPr>
            <w:r>
              <w:t>Перечисление «</w:t>
            </w:r>
            <w:proofErr w:type="spellStart"/>
            <w:r>
              <w:t>БИТ_Продукты</w:t>
            </w:r>
            <w:proofErr w:type="spellEnd"/>
            <w:r>
              <w:t>», отбирается по реквизиту</w:t>
            </w:r>
            <w:r w:rsidR="006C1F6E">
              <w:t xml:space="preserve"> «Продукт» в актах</w:t>
            </w:r>
            <w:r>
              <w:t>.</w:t>
            </w:r>
          </w:p>
        </w:tc>
      </w:tr>
    </w:tbl>
    <w:p w14:paraId="5F8C6C5A" w14:textId="77777777" w:rsidR="00A63D62" w:rsidRDefault="00A63D62" w:rsidP="00C87D98"/>
    <w:p w14:paraId="4B0B713A" w14:textId="754DCF0A" w:rsidR="00C87D98" w:rsidRDefault="006F4C44" w:rsidP="00C87D98">
      <w:r>
        <w:t xml:space="preserve">Структура отчета в файле </w:t>
      </w:r>
      <w:r w:rsidR="002F13C7" w:rsidRPr="002F13C7">
        <w:t>ПЗ.03.Макеты.xlsx</w:t>
      </w:r>
      <w:r w:rsidR="00970864">
        <w:t xml:space="preserve">, </w:t>
      </w:r>
      <w:bookmarkStart w:id="8" w:name="_GoBack"/>
      <w:bookmarkEnd w:id="8"/>
      <w:r w:rsidR="002F13C7">
        <w:t>«</w:t>
      </w:r>
      <w:r w:rsidR="002F13C7" w:rsidRPr="002F13C7">
        <w:t>Контроль за номенклатурой</w:t>
      </w:r>
      <w:r w:rsidR="002F13C7">
        <w:t>»</w:t>
      </w:r>
      <w:r>
        <w:t>.</w:t>
      </w:r>
    </w:p>
    <w:sectPr w:rsidR="00C87D98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9FE7F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AD2E86"/>
    <w:multiLevelType w:val="multilevel"/>
    <w:tmpl w:val="A4502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9F28D4"/>
    <w:multiLevelType w:val="hybridMultilevel"/>
    <w:tmpl w:val="1780F9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2"/>
  </w:num>
  <w:num w:numId="5">
    <w:abstractNumId w:val="13"/>
    <w:lvlOverride w:ilvl="0">
      <w:startOverride w:val="5"/>
    </w:lvlOverride>
    <w:lvlOverride w:ilvl="1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</w:num>
  <w:num w:numId="7">
    <w:abstractNumId w:val="13"/>
    <w:lvlOverride w:ilvl="0">
      <w:startOverride w:val="5"/>
    </w:lvlOverride>
    <w:lvlOverride w:ilvl="1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</w:num>
  <w:num w:numId="9">
    <w:abstractNumId w:val="13"/>
    <w:lvlOverride w:ilvl="0">
      <w:startOverride w:val="5"/>
    </w:lvlOverride>
    <w:lvlOverride w:ilvl="1">
      <w:startOverride w:val="2"/>
    </w:lvlOverride>
  </w:num>
  <w:num w:numId="10">
    <w:abstractNumId w:val="16"/>
  </w:num>
  <w:num w:numId="11">
    <w:abstractNumId w:val="17"/>
  </w:num>
  <w:num w:numId="12">
    <w:abstractNumId w:val="9"/>
  </w:num>
  <w:num w:numId="13">
    <w:abstractNumId w:val="10"/>
  </w:num>
  <w:num w:numId="14">
    <w:abstractNumId w:val="23"/>
  </w:num>
  <w:num w:numId="15">
    <w:abstractNumId w:val="14"/>
  </w:num>
  <w:num w:numId="16">
    <w:abstractNumId w:val="12"/>
  </w:num>
  <w:num w:numId="17">
    <w:abstractNumId w:val="8"/>
  </w:num>
  <w:num w:numId="18">
    <w:abstractNumId w:val="19"/>
  </w:num>
  <w:num w:numId="19">
    <w:abstractNumId w:val="7"/>
  </w:num>
  <w:num w:numId="20">
    <w:abstractNumId w:val="11"/>
  </w:num>
  <w:num w:numId="21">
    <w:abstractNumId w:val="21"/>
  </w:num>
  <w:num w:numId="22">
    <w:abstractNumId w:val="6"/>
  </w:num>
  <w:num w:numId="23">
    <w:abstractNumId w:val="20"/>
  </w:num>
  <w:num w:numId="24">
    <w:abstractNumId w:val="3"/>
  </w:num>
  <w:num w:numId="25">
    <w:abstractNumId w:val="0"/>
  </w:num>
  <w:num w:numId="26">
    <w:abstractNumId w:val="2"/>
  </w:num>
  <w:num w:numId="27">
    <w:abstractNumId w:val="4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275A5"/>
    <w:rsid w:val="00040571"/>
    <w:rsid w:val="000456F7"/>
    <w:rsid w:val="00047CFD"/>
    <w:rsid w:val="0005235D"/>
    <w:rsid w:val="00052E7F"/>
    <w:rsid w:val="00080D0A"/>
    <w:rsid w:val="00085A5E"/>
    <w:rsid w:val="00086AD1"/>
    <w:rsid w:val="0008712F"/>
    <w:rsid w:val="000D3AFB"/>
    <w:rsid w:val="000D48B7"/>
    <w:rsid w:val="000E536A"/>
    <w:rsid w:val="000F2C92"/>
    <w:rsid w:val="000F35C6"/>
    <w:rsid w:val="000F6CB5"/>
    <w:rsid w:val="00112064"/>
    <w:rsid w:val="001255AE"/>
    <w:rsid w:val="00136BA8"/>
    <w:rsid w:val="00151324"/>
    <w:rsid w:val="00165415"/>
    <w:rsid w:val="00166EE1"/>
    <w:rsid w:val="00177537"/>
    <w:rsid w:val="001A368F"/>
    <w:rsid w:val="001A5698"/>
    <w:rsid w:val="001E06F9"/>
    <w:rsid w:val="001E4D73"/>
    <w:rsid w:val="001F30EA"/>
    <w:rsid w:val="002019A6"/>
    <w:rsid w:val="0020675A"/>
    <w:rsid w:val="002545DB"/>
    <w:rsid w:val="002578F8"/>
    <w:rsid w:val="002608B6"/>
    <w:rsid w:val="002A190F"/>
    <w:rsid w:val="002C0F5B"/>
    <w:rsid w:val="002D62DA"/>
    <w:rsid w:val="002F13C7"/>
    <w:rsid w:val="00302386"/>
    <w:rsid w:val="0030617E"/>
    <w:rsid w:val="00344313"/>
    <w:rsid w:val="003452A5"/>
    <w:rsid w:val="00352E9E"/>
    <w:rsid w:val="00384F6C"/>
    <w:rsid w:val="003C102A"/>
    <w:rsid w:val="003D7B3F"/>
    <w:rsid w:val="003F4651"/>
    <w:rsid w:val="00403347"/>
    <w:rsid w:val="00404F4A"/>
    <w:rsid w:val="00425193"/>
    <w:rsid w:val="0043125C"/>
    <w:rsid w:val="00446671"/>
    <w:rsid w:val="00453766"/>
    <w:rsid w:val="00461853"/>
    <w:rsid w:val="00473F20"/>
    <w:rsid w:val="00475403"/>
    <w:rsid w:val="004829C5"/>
    <w:rsid w:val="0048703D"/>
    <w:rsid w:val="004B0962"/>
    <w:rsid w:val="004C2ACB"/>
    <w:rsid w:val="004C7695"/>
    <w:rsid w:val="004E09E4"/>
    <w:rsid w:val="00522B8A"/>
    <w:rsid w:val="005337B9"/>
    <w:rsid w:val="0054017A"/>
    <w:rsid w:val="005468BC"/>
    <w:rsid w:val="005521A5"/>
    <w:rsid w:val="00557D32"/>
    <w:rsid w:val="00560858"/>
    <w:rsid w:val="005677FF"/>
    <w:rsid w:val="00573D88"/>
    <w:rsid w:val="005B4B8E"/>
    <w:rsid w:val="005C2F6F"/>
    <w:rsid w:val="005D5DB5"/>
    <w:rsid w:val="00620055"/>
    <w:rsid w:val="00634E7E"/>
    <w:rsid w:val="006659D5"/>
    <w:rsid w:val="00681613"/>
    <w:rsid w:val="00682FAE"/>
    <w:rsid w:val="00684A35"/>
    <w:rsid w:val="00685450"/>
    <w:rsid w:val="006A7C20"/>
    <w:rsid w:val="006B1A62"/>
    <w:rsid w:val="006B54D6"/>
    <w:rsid w:val="006C0D95"/>
    <w:rsid w:val="006C1F6E"/>
    <w:rsid w:val="006D2331"/>
    <w:rsid w:val="006E2DDC"/>
    <w:rsid w:val="006E5A46"/>
    <w:rsid w:val="006E6E08"/>
    <w:rsid w:val="006F4C44"/>
    <w:rsid w:val="00710727"/>
    <w:rsid w:val="00733911"/>
    <w:rsid w:val="007414A5"/>
    <w:rsid w:val="00746565"/>
    <w:rsid w:val="00753DD2"/>
    <w:rsid w:val="00767774"/>
    <w:rsid w:val="007A48FF"/>
    <w:rsid w:val="007A4FF8"/>
    <w:rsid w:val="007B5E0F"/>
    <w:rsid w:val="007B78A4"/>
    <w:rsid w:val="007E462D"/>
    <w:rsid w:val="007F52A3"/>
    <w:rsid w:val="008342FA"/>
    <w:rsid w:val="00853834"/>
    <w:rsid w:val="00865127"/>
    <w:rsid w:val="00870E16"/>
    <w:rsid w:val="008749B5"/>
    <w:rsid w:val="00881C2F"/>
    <w:rsid w:val="00887290"/>
    <w:rsid w:val="008C2EA6"/>
    <w:rsid w:val="008E2D64"/>
    <w:rsid w:val="00932152"/>
    <w:rsid w:val="009405FD"/>
    <w:rsid w:val="009452FF"/>
    <w:rsid w:val="00952FE0"/>
    <w:rsid w:val="00970864"/>
    <w:rsid w:val="00992CC7"/>
    <w:rsid w:val="009C3E45"/>
    <w:rsid w:val="009C47B0"/>
    <w:rsid w:val="009C5BD9"/>
    <w:rsid w:val="009E15E2"/>
    <w:rsid w:val="00A13EDC"/>
    <w:rsid w:val="00A17F36"/>
    <w:rsid w:val="00A56C51"/>
    <w:rsid w:val="00A61470"/>
    <w:rsid w:val="00A63D62"/>
    <w:rsid w:val="00A97C13"/>
    <w:rsid w:val="00AA0442"/>
    <w:rsid w:val="00AB72E7"/>
    <w:rsid w:val="00AC6A3E"/>
    <w:rsid w:val="00AC6BE0"/>
    <w:rsid w:val="00AE4B58"/>
    <w:rsid w:val="00B06BBE"/>
    <w:rsid w:val="00B35D10"/>
    <w:rsid w:val="00B369B3"/>
    <w:rsid w:val="00B45EEC"/>
    <w:rsid w:val="00B5513B"/>
    <w:rsid w:val="00B60ABD"/>
    <w:rsid w:val="00B64A43"/>
    <w:rsid w:val="00B94B7A"/>
    <w:rsid w:val="00BA25D5"/>
    <w:rsid w:val="00BB4E61"/>
    <w:rsid w:val="00BE4696"/>
    <w:rsid w:val="00BF38D4"/>
    <w:rsid w:val="00C074B6"/>
    <w:rsid w:val="00C14792"/>
    <w:rsid w:val="00C41717"/>
    <w:rsid w:val="00C45C3C"/>
    <w:rsid w:val="00C511D6"/>
    <w:rsid w:val="00C619E1"/>
    <w:rsid w:val="00C64FC8"/>
    <w:rsid w:val="00C84730"/>
    <w:rsid w:val="00C87D98"/>
    <w:rsid w:val="00CA28D6"/>
    <w:rsid w:val="00CD0533"/>
    <w:rsid w:val="00CE336E"/>
    <w:rsid w:val="00CE3659"/>
    <w:rsid w:val="00CF299C"/>
    <w:rsid w:val="00D531E0"/>
    <w:rsid w:val="00D802F7"/>
    <w:rsid w:val="00D8710F"/>
    <w:rsid w:val="00D9517E"/>
    <w:rsid w:val="00D961C8"/>
    <w:rsid w:val="00DA7C26"/>
    <w:rsid w:val="00DB0E36"/>
    <w:rsid w:val="00DC160D"/>
    <w:rsid w:val="00DF6E70"/>
    <w:rsid w:val="00E05723"/>
    <w:rsid w:val="00E05D85"/>
    <w:rsid w:val="00E1701F"/>
    <w:rsid w:val="00E20821"/>
    <w:rsid w:val="00E93223"/>
    <w:rsid w:val="00E944F7"/>
    <w:rsid w:val="00EB209A"/>
    <w:rsid w:val="00EB5618"/>
    <w:rsid w:val="00EE1545"/>
    <w:rsid w:val="00F03321"/>
    <w:rsid w:val="00F26146"/>
    <w:rsid w:val="00F30923"/>
    <w:rsid w:val="00F53052"/>
    <w:rsid w:val="00F6485B"/>
    <w:rsid w:val="00F83DC2"/>
    <w:rsid w:val="00F958CF"/>
    <w:rsid w:val="00FA2B6C"/>
    <w:rsid w:val="00FB203C"/>
    <w:rsid w:val="00FB7279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403"/>
    <w:pPr>
      <w:keepNext/>
      <w:keepLines/>
      <w:numPr>
        <w:ilvl w:val="1"/>
        <w:numId w:val="2"/>
      </w:numPr>
      <w:spacing w:before="480" w:after="240" w:line="240" w:lineRule="auto"/>
      <w:ind w:left="567" w:hanging="431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403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A80E-9ED6-4F08-A08A-01B643FA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Найденова</cp:lastModifiedBy>
  <cp:revision>2</cp:revision>
  <dcterms:created xsi:type="dcterms:W3CDTF">2022-07-21T09:31:00Z</dcterms:created>
  <dcterms:modified xsi:type="dcterms:W3CDTF">2022-07-21T09:31:00Z</dcterms:modified>
</cp:coreProperties>
</file>