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7C" w:rsidRPr="00901D46" w:rsidRDefault="00030E72" w:rsidP="00901D46">
      <w:pPr>
        <w:pStyle w:val="a3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Доработки УТ 11</w:t>
      </w:r>
      <w:bookmarkStart w:id="0" w:name="_GoBack"/>
      <w:bookmarkEnd w:id="0"/>
    </w:p>
    <w:p w:rsidR="00901D46" w:rsidRDefault="00901D46" w:rsidP="00901D46"/>
    <w:p w:rsidR="00901D46" w:rsidRDefault="006E5FC1" w:rsidP="0029074A">
      <w:pPr>
        <w:pStyle w:val="1"/>
      </w:pPr>
      <w:r>
        <w:t>Доработка документа «Приобретение товаров и услуг»</w:t>
      </w:r>
    </w:p>
    <w:p w:rsidR="006E5FC1" w:rsidRDefault="006E5FC1" w:rsidP="003D587A">
      <w:pPr>
        <w:pStyle w:val="a5"/>
        <w:numPr>
          <w:ilvl w:val="0"/>
          <w:numId w:val="1"/>
        </w:numPr>
        <w:jc w:val="both"/>
      </w:pPr>
      <w:r>
        <w:t>На основании типового документа добавлена возможность ввести нетиповые документы:</w:t>
      </w:r>
    </w:p>
    <w:p w:rsidR="006E5FC1" w:rsidRDefault="006E5FC1" w:rsidP="003D587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4786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8-30_12-11-4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C1" w:rsidRDefault="006E5FC1" w:rsidP="003D587A">
      <w:pPr>
        <w:jc w:val="both"/>
      </w:pPr>
      <w:r>
        <w:t>После записи или проведения введенные документы не отображаются в структуре подчиненности – нужно сделать так, чтобы данные документы отображались в типовой структуре подчиненности:</w:t>
      </w:r>
    </w:p>
    <w:p w:rsidR="006E5FC1" w:rsidRDefault="006E5FC1" w:rsidP="003D587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6313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-08-30_12-12-3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60" w:rsidRDefault="006B3460" w:rsidP="003D587A">
      <w:pPr>
        <w:pStyle w:val="a5"/>
        <w:numPr>
          <w:ilvl w:val="0"/>
          <w:numId w:val="1"/>
        </w:numPr>
        <w:jc w:val="both"/>
      </w:pPr>
      <w:r>
        <w:t xml:space="preserve">При записи/проведении документа, </w:t>
      </w:r>
      <w:r w:rsidR="00276843">
        <w:t>не зависимо от того, какую</w:t>
      </w:r>
      <w:r>
        <w:t>-бы дату не выбрал пользователь, время документа должно быть установлено на 12:00:00.</w:t>
      </w:r>
    </w:p>
    <w:p w:rsidR="006B3460" w:rsidRDefault="006B3460" w:rsidP="003D587A">
      <w:pPr>
        <w:jc w:val="both"/>
      </w:pPr>
    </w:p>
    <w:p w:rsidR="00276843" w:rsidRDefault="00276843" w:rsidP="003D587A">
      <w:pPr>
        <w:pStyle w:val="1"/>
        <w:jc w:val="both"/>
      </w:pPr>
      <w:r>
        <w:lastRenderedPageBreak/>
        <w:t>Доработка документа «Передача материалов на объект»</w:t>
      </w:r>
    </w:p>
    <w:p w:rsidR="00276843" w:rsidRDefault="00276843" w:rsidP="003D587A">
      <w:pPr>
        <w:jc w:val="both"/>
      </w:pPr>
      <w:r>
        <w:t>При записи/проведении документа, не зависимо от того, какую-бы дату не выбрал пользователь, время документа должно быть установлено на 16:00:00.</w:t>
      </w:r>
    </w:p>
    <w:p w:rsidR="00276843" w:rsidRDefault="00276843" w:rsidP="003D587A">
      <w:pPr>
        <w:jc w:val="both"/>
      </w:pPr>
      <w:r>
        <w:rPr>
          <w:noProof/>
          <w:lang w:eastAsia="ru-RU"/>
        </w:rPr>
        <w:drawing>
          <wp:inline distT="0" distB="0" distL="0" distR="0" wp14:anchorId="65591CC5" wp14:editId="3A8385BD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843" w:rsidRDefault="00276843" w:rsidP="003D587A">
      <w:pPr>
        <w:jc w:val="both"/>
      </w:pPr>
    </w:p>
    <w:p w:rsidR="00A1387C" w:rsidRDefault="00A1387C" w:rsidP="0029074A">
      <w:pPr>
        <w:pStyle w:val="1"/>
      </w:pPr>
      <w:r>
        <w:t xml:space="preserve">Разработка документа «Списание </w:t>
      </w:r>
      <w:r w:rsidR="00BF30AB">
        <w:t>материалов,</w:t>
      </w:r>
      <w:r>
        <w:t xml:space="preserve"> потраченных по факту»</w:t>
      </w:r>
    </w:p>
    <w:p w:rsidR="00A1387C" w:rsidRDefault="00BF30AB" w:rsidP="003D587A">
      <w:pPr>
        <w:jc w:val="both"/>
      </w:pPr>
      <w:r>
        <w:t>На текущий момент в системе предусмотрена следующая логика:</w:t>
      </w:r>
    </w:p>
    <w:p w:rsidR="00BF30AB" w:rsidRDefault="00BF30AB" w:rsidP="003D587A">
      <w:pPr>
        <w:pStyle w:val="a5"/>
        <w:numPr>
          <w:ilvl w:val="0"/>
          <w:numId w:val="3"/>
        </w:numPr>
        <w:jc w:val="both"/>
      </w:pPr>
      <w:r>
        <w:t>Типовым документом ПТРУ пользователи приходуют материалы на склады;</w:t>
      </w:r>
    </w:p>
    <w:p w:rsidR="00BF30AB" w:rsidRDefault="00BF30AB" w:rsidP="003D587A">
      <w:pPr>
        <w:pStyle w:val="a5"/>
        <w:numPr>
          <w:ilvl w:val="0"/>
          <w:numId w:val="3"/>
        </w:numPr>
        <w:jc w:val="both"/>
      </w:pPr>
      <w:r>
        <w:t xml:space="preserve">Далее, руководитель снабжения передаёт ТМЦ документом «передача материалов на объект» (возможны операции списания с объекта, документом возврат материалов, а </w:t>
      </w:r>
      <w:r w:rsidR="00770593">
        <w:t>также</w:t>
      </w:r>
      <w:r>
        <w:t xml:space="preserve"> непосредственный возврат переданных ранее ТМЦ)</w:t>
      </w:r>
    </w:p>
    <w:p w:rsidR="00BF30AB" w:rsidRDefault="00BF30AB" w:rsidP="003D587A">
      <w:pPr>
        <w:pStyle w:val="a5"/>
        <w:numPr>
          <w:ilvl w:val="0"/>
          <w:numId w:val="3"/>
        </w:numPr>
        <w:jc w:val="both"/>
      </w:pPr>
      <w:r>
        <w:t>Все эти данные отображаются в специальном отчёте «План-Факт»</w:t>
      </w:r>
      <w:r w:rsidR="00770593">
        <w:t>.</w:t>
      </w:r>
    </w:p>
    <w:p w:rsidR="00770593" w:rsidRDefault="00770593" w:rsidP="003D587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323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08-30_13-17-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93" w:rsidRDefault="00770593" w:rsidP="003D587A">
      <w:pPr>
        <w:jc w:val="both"/>
      </w:pPr>
    </w:p>
    <w:p w:rsidR="00770593" w:rsidRDefault="00770593" w:rsidP="003D587A">
      <w:pPr>
        <w:jc w:val="both"/>
      </w:pPr>
      <w:r>
        <w:lastRenderedPageBreak/>
        <w:t>На текущий момент у Клиента возникла потребность отследить, какой материал и сколько материала было фактически потрачено на объект.</w:t>
      </w:r>
    </w:p>
    <w:p w:rsidR="00770593" w:rsidRDefault="00770593" w:rsidP="003D587A">
      <w:pPr>
        <w:jc w:val="both"/>
      </w:pPr>
      <w:r>
        <w:t>Для этих целей предлагается разработать специальный документ, аналогичный по внешнему виду документу «Передача материалов на объект (единственный момент – не требуется указание склада, признака Отгружено складом и данных о качестве).</w:t>
      </w:r>
    </w:p>
    <w:p w:rsidR="00770593" w:rsidRDefault="00770593" w:rsidP="003D587A">
      <w:pPr>
        <w:jc w:val="both"/>
      </w:pPr>
      <w:r>
        <w:t>Данный документ должен фиксировать фактический расход</w:t>
      </w:r>
      <w:r w:rsidR="00A65686">
        <w:t xml:space="preserve"> ТМЦ на объект, соответственно, после подтверждения фактического расхода ТМЦ на объект нужно запретить возможность возврата ТМЦ с объекта, или списание его в брак.</w:t>
      </w:r>
      <w:r w:rsidR="00BB0174">
        <w:t xml:space="preserve"> ВНИМАНИЕ! Списать на фактический расход можно только тот материал, который был передан на объект!</w:t>
      </w:r>
    </w:p>
    <w:p w:rsidR="00A65686" w:rsidRDefault="00BB0174" w:rsidP="003D587A">
      <w:pPr>
        <w:jc w:val="both"/>
      </w:pPr>
      <w:r>
        <w:t>Сам документ разместить в АРМ «Обеспечение объектов», на отдельной вкладке «Списание на объект»:</w:t>
      </w:r>
    </w:p>
    <w:p w:rsidR="00BB0174" w:rsidRDefault="00BB0174" w:rsidP="003D587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406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08-30_13-28-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74" w:rsidRDefault="00BB0174" w:rsidP="003D587A">
      <w:pPr>
        <w:jc w:val="both"/>
      </w:pPr>
      <w:r>
        <w:t>Права настроить аналогично документу «Передача на объект», функционал заполнения табличных частей и обработчики формы сделать аналогично документу Передача на объект.</w:t>
      </w:r>
    </w:p>
    <w:p w:rsidR="007D29B7" w:rsidRDefault="007D29B7" w:rsidP="0029074A">
      <w:pPr>
        <w:pStyle w:val="1"/>
      </w:pPr>
      <w:r>
        <w:t xml:space="preserve">Разработка документа «Перемещение материалов </w:t>
      </w:r>
      <w:r w:rsidR="00C1708C">
        <w:t>с объекта/системы</w:t>
      </w:r>
      <w:r>
        <w:t>»</w:t>
      </w:r>
    </w:p>
    <w:p w:rsidR="00BB0174" w:rsidRDefault="00C1708C" w:rsidP="003D587A">
      <w:pPr>
        <w:jc w:val="both"/>
      </w:pPr>
      <w:r>
        <w:t>Требуется разработать документ, который позволит сделать перемещение ТМЦ как с объекта на объект (с разных систем одного на разные системы другого), так и в рамках одного объекта, с системы на систему.</w:t>
      </w:r>
    </w:p>
    <w:p w:rsidR="00C1708C" w:rsidRDefault="00C1708C" w:rsidP="003D587A">
      <w:pPr>
        <w:jc w:val="both"/>
      </w:pPr>
      <w:r w:rsidRPr="00C1708C">
        <w:t>Пример, как используется: лежит труба для системы ГВС на объекте А, а ее применили для системы водоотведения на объекте А (или вообще на объекте Б) - вот это и должно фиксироваться документом перемещение.</w:t>
      </w:r>
    </w:p>
    <w:p w:rsidR="00C1708C" w:rsidRDefault="00C1708C" w:rsidP="003D587A">
      <w:pPr>
        <w:jc w:val="both"/>
      </w:pPr>
      <w:r>
        <w:t>Документ разместить в АРМ «Обеспечение объектов» на отдельной вкладке «Перемещение материалов». Права настроить аналогично документу «Передача на объект».</w:t>
      </w:r>
    </w:p>
    <w:p w:rsidR="00C1708C" w:rsidRDefault="00EB6CD2" w:rsidP="003D587A">
      <w:pPr>
        <w:jc w:val="both"/>
      </w:pPr>
      <w:r>
        <w:t>ВНИМАНИЕ! Перемещение возможно только в рамках тех ТМЦ, которые числятся на объекте/системе, не списаны в брак, не израсходованы фактически на объект/систему (</w:t>
      </w:r>
      <w:r w:rsidR="007D1392">
        <w:t>см. предыдущий</w:t>
      </w:r>
      <w:r>
        <w:t xml:space="preserve"> пункт).</w:t>
      </w:r>
    </w:p>
    <w:p w:rsidR="0029074A" w:rsidRDefault="0029074A" w:rsidP="0029074A">
      <w:pPr>
        <w:pStyle w:val="1"/>
      </w:pPr>
      <w:r>
        <w:t>Доработка ограничений для текущего функционала ИС</w:t>
      </w:r>
    </w:p>
    <w:p w:rsidR="007D1392" w:rsidRDefault="004E7CB9" w:rsidP="0029074A">
      <w:pPr>
        <w:jc w:val="both"/>
      </w:pPr>
      <w:r>
        <w:t>Клиент ведёт учёт ТМЦ в разрезе проектов. У каждого из проектов предусмотрен пр</w:t>
      </w:r>
      <w:r w:rsidR="0096071D">
        <w:t>изнак того, что проект завершён:</w:t>
      </w:r>
    </w:p>
    <w:p w:rsidR="004E7CB9" w:rsidRDefault="004E7CB9" w:rsidP="0029074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1317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-08-30_14-04-2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1D" w:rsidRDefault="0096071D" w:rsidP="0029074A">
      <w:pPr>
        <w:jc w:val="both"/>
      </w:pPr>
      <w:r>
        <w:t xml:space="preserve">Необходимо доработать документы Передача на объект, Возврат с объекта, Перемещение между объектами, Фактическое списание на объект таким образом, чтобы </w:t>
      </w:r>
      <w:r w:rsidRPr="0096071D">
        <w:t>было невозможно сделать какие-либо другие документы, кроме как выписать гарантию (ДОПОЛНЕНИЕ: это</w:t>
      </w:r>
      <w:r>
        <w:t xml:space="preserve"> документ «Передача на объект»), или же сделать перемещение с текущего закрытого объекта, с системы Гарантия, на любой другой объект (в том числе и на закрытый, но, тогда только на систему Гарантия.</w:t>
      </w:r>
      <w:r w:rsidRPr="0096071D">
        <w:t xml:space="preserve"> Поясняю: в базе заведены системы ("ХВС/ГВС", "Водоотведение", ... , "Гарантия"). После того, как завершили работы на объекте, все подбили в базе, могут остаться материалы. Эти материалы переносят на систему "Гарантия", и ставят в объекте галочку "Завершен". После установки этой галочки, любые расходные документы по объекту (например, гайки/трубы) могут выписываться только по системе "Гарантия", а не по каким другим. </w:t>
      </w:r>
    </w:p>
    <w:p w:rsidR="0096071D" w:rsidRDefault="0096071D" w:rsidP="0029074A">
      <w:pPr>
        <w:jc w:val="both"/>
      </w:pPr>
      <w:r>
        <w:t>ВНИМАНИЕ! Отмена проведения старых документов, после завершения объекта – под запретом, т.е. пользователь не должен иметь права отменить проведение документов, или перепровести их. Примечание – для определения того, что выбранная система является именно Гарантией рекомендуется предусмотреть признак для элемента справочника «Система»:</w:t>
      </w:r>
    </w:p>
    <w:p w:rsidR="0096071D" w:rsidRDefault="0096071D" w:rsidP="0029074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457700" cy="4514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2-08-30_14-10-4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1D" w:rsidRPr="0096071D" w:rsidRDefault="0096071D" w:rsidP="0029074A">
      <w:pPr>
        <w:jc w:val="both"/>
        <w:rPr>
          <w:u w:val="single"/>
        </w:rPr>
      </w:pPr>
      <w:r w:rsidRPr="0096071D">
        <w:rPr>
          <w:u w:val="single"/>
        </w:rPr>
        <w:t>Дополнительные требования:</w:t>
      </w:r>
    </w:p>
    <w:p w:rsidR="0096071D" w:rsidRDefault="0096071D" w:rsidP="0096071D">
      <w:pPr>
        <w:pStyle w:val="a5"/>
        <w:numPr>
          <w:ilvl w:val="0"/>
          <w:numId w:val="4"/>
        </w:numPr>
        <w:jc w:val="both"/>
      </w:pPr>
      <w:r>
        <w:t>Установить признак может только пользователь с полными правами;</w:t>
      </w:r>
    </w:p>
    <w:p w:rsidR="0096071D" w:rsidRDefault="00971402" w:rsidP="0096071D">
      <w:pPr>
        <w:pStyle w:val="a5"/>
        <w:numPr>
          <w:ilvl w:val="0"/>
          <w:numId w:val="4"/>
        </w:numPr>
        <w:jc w:val="both"/>
      </w:pPr>
      <w:r>
        <w:t>Установить данный признак можно только для одного из элементов справочника.</w:t>
      </w:r>
    </w:p>
    <w:p w:rsidR="004E7CB9" w:rsidRDefault="00476995" w:rsidP="00476995">
      <w:pPr>
        <w:pStyle w:val="1"/>
      </w:pPr>
      <w:r>
        <w:t>Отчёт «Суммовой учёт материалов»</w:t>
      </w:r>
    </w:p>
    <w:p w:rsidR="00476995" w:rsidRDefault="00476995" w:rsidP="00A05597">
      <w:pPr>
        <w:jc w:val="both"/>
      </w:pPr>
      <w:r>
        <w:t>Разработать новый отчёт «Суммовой учёт материалов» на базе отчёта Ведомость товаров на складах»</w:t>
      </w:r>
      <w:r w:rsidR="00E804DB">
        <w:t xml:space="preserve"> (красным выделено, как нужно дополнить типовой отчёт):</w:t>
      </w:r>
    </w:p>
    <w:p w:rsidR="00E804DB" w:rsidRDefault="00E804DB" w:rsidP="00A0559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17741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2-08-30_14-42-2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995" w:rsidRDefault="00E804DB" w:rsidP="00A05597">
      <w:pPr>
        <w:jc w:val="both"/>
      </w:pPr>
      <w:r>
        <w:t>Сумма</w:t>
      </w:r>
      <w:r w:rsidR="008467AB">
        <w:t xml:space="preserve"> в начальном и конечном остатке</w:t>
      </w:r>
      <w:r w:rsidRPr="00E804DB">
        <w:t xml:space="preserve"> – это закупочные цены. Закупочные цены для начального остатка и прихо</w:t>
      </w:r>
      <w:r w:rsidR="008467AB">
        <w:t>да берем из приходных накладных (считаем по средней, умножаем на количество, чтобы получить среднюю сумму).</w:t>
      </w:r>
      <w:r w:rsidRPr="00E804DB">
        <w:t xml:space="preserve"> Для расхода цены берем из расходных накладных. Конечный </w:t>
      </w:r>
      <w:r w:rsidRPr="00E804DB">
        <w:lastRenderedPageBreak/>
        <w:t>остаток = начальный остаток + приход - расход. Все цены должны рассчитываться по средней (как по средней списываются материалы, также по средней и тут должно рассчитываться).</w:t>
      </w:r>
    </w:p>
    <w:p w:rsidR="00E804DB" w:rsidRDefault="00E804DB" w:rsidP="00A05597">
      <w:pPr>
        <w:jc w:val="both"/>
      </w:pPr>
      <w:r>
        <w:t>ВНИМАНИЕ! Перед разработкой прошу обратить внимание на типовой отчёт Ведомость по товарам на складах, так как он доработан под нужды Клиента.</w:t>
      </w:r>
    </w:p>
    <w:p w:rsidR="008467AB" w:rsidRDefault="008467AB" w:rsidP="00A05597">
      <w:pPr>
        <w:jc w:val="both"/>
      </w:pPr>
      <w:r>
        <w:t>Отчёт разместить как в разделе отчёты типового интерфейса:</w:t>
      </w:r>
    </w:p>
    <w:p w:rsidR="008467AB" w:rsidRDefault="008467AB" w:rsidP="00A05597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6391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2-08-30_14-55-1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7AB" w:rsidRDefault="008467AB" w:rsidP="00A05597">
      <w:pPr>
        <w:jc w:val="both"/>
      </w:pPr>
      <w:r>
        <w:t>Так и в АРМ «Обеспечение объектов»:</w:t>
      </w:r>
    </w:p>
    <w:p w:rsidR="008467AB" w:rsidRDefault="008467AB" w:rsidP="00A05597">
      <w:pPr>
        <w:jc w:val="both"/>
      </w:pPr>
      <w:r>
        <w:rPr>
          <w:noProof/>
          <w:lang w:eastAsia="ru-RU"/>
        </w:rPr>
        <w:drawing>
          <wp:inline distT="0" distB="0" distL="0" distR="0">
            <wp:extent cx="5200650" cy="3752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2-08-30_14-55-3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4DB" w:rsidRDefault="008467AB" w:rsidP="00A05597">
      <w:pPr>
        <w:jc w:val="both"/>
      </w:pPr>
      <w:r>
        <w:lastRenderedPageBreak/>
        <w:t>Права назначить такие же, как и для отчёта «Ведомость по товарам на складах».</w:t>
      </w:r>
    </w:p>
    <w:p w:rsidR="00A05597" w:rsidRDefault="00A05597" w:rsidP="00A05597">
      <w:pPr>
        <w:pStyle w:val="1"/>
      </w:pPr>
      <w:r>
        <w:t>Доработка отчёта «План/факт по обеспечению объекта»</w:t>
      </w:r>
    </w:p>
    <w:p w:rsidR="00A05597" w:rsidRPr="00A05597" w:rsidRDefault="00A05597" w:rsidP="00A05597">
      <w:pPr>
        <w:jc w:val="both"/>
      </w:pPr>
    </w:p>
    <w:p w:rsidR="00A05597" w:rsidRDefault="00253F5C" w:rsidP="00E804DB">
      <w:pPr>
        <w:jc w:val="both"/>
      </w:pPr>
      <w:r>
        <w:t>Доработать отчёт План-Факт:</w:t>
      </w:r>
    </w:p>
    <w:p w:rsidR="00253F5C" w:rsidRDefault="00253F5C" w:rsidP="00E804DB">
      <w:pPr>
        <w:jc w:val="both"/>
      </w:pPr>
      <w:r>
        <w:rPr>
          <w:noProof/>
          <w:lang w:eastAsia="ru-RU"/>
        </w:rPr>
        <w:drawing>
          <wp:inline distT="0" distB="0" distL="0" distR="0" wp14:anchorId="6627A8A0" wp14:editId="23D94459">
            <wp:extent cx="5940425" cy="33413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F5C" w:rsidRDefault="00253F5C" w:rsidP="00253F5C">
      <w:pPr>
        <w:pStyle w:val="a5"/>
        <w:numPr>
          <w:ilvl w:val="0"/>
          <w:numId w:val="5"/>
        </w:numPr>
        <w:jc w:val="both"/>
      </w:pPr>
      <w:r>
        <w:t>Имеющийся столбец «</w:t>
      </w:r>
      <w:proofErr w:type="spellStart"/>
      <w:r>
        <w:t>Факт.расход</w:t>
      </w:r>
      <w:proofErr w:type="spellEnd"/>
      <w:r>
        <w:t xml:space="preserve">» переименовать в </w:t>
      </w:r>
      <w:r w:rsidR="00DD7F72">
        <w:t>«</w:t>
      </w:r>
      <w:r>
        <w:t>Кол-во материала на объекте</w:t>
      </w:r>
      <w:r w:rsidR="00DD7F72">
        <w:t>»</w:t>
      </w:r>
      <w:r>
        <w:t>;</w:t>
      </w:r>
    </w:p>
    <w:p w:rsidR="00253F5C" w:rsidRDefault="00253F5C" w:rsidP="00253F5C">
      <w:pPr>
        <w:pStyle w:val="a5"/>
        <w:numPr>
          <w:ilvl w:val="0"/>
          <w:numId w:val="5"/>
        </w:numPr>
        <w:jc w:val="both"/>
      </w:pPr>
      <w:r>
        <w:t>Добавить столбец «</w:t>
      </w:r>
      <w:proofErr w:type="spellStart"/>
      <w:r>
        <w:t>Факт.расход</w:t>
      </w:r>
      <w:proofErr w:type="spellEnd"/>
      <w:r>
        <w:t>», высчитывается исходя из количества материалов, подтверждённых документом «Списание материалов, потраченных по факту»;</w:t>
      </w:r>
    </w:p>
    <w:p w:rsidR="00253F5C" w:rsidRDefault="00253F5C" w:rsidP="00253F5C">
      <w:pPr>
        <w:pStyle w:val="a5"/>
        <w:numPr>
          <w:ilvl w:val="0"/>
          <w:numId w:val="5"/>
        </w:numPr>
        <w:jc w:val="both"/>
      </w:pPr>
      <w:r>
        <w:t xml:space="preserve">Добавить столбец «Отклонение от переданного на объект, Кол-во», рассчитывается как Подтверждённый расход – </w:t>
      </w:r>
      <w:proofErr w:type="spellStart"/>
      <w:r>
        <w:t>Факт.Расход</w:t>
      </w:r>
      <w:proofErr w:type="spellEnd"/>
      <w:r>
        <w:t>;</w:t>
      </w:r>
    </w:p>
    <w:p w:rsidR="00253F5C" w:rsidRDefault="00253F5C" w:rsidP="00253F5C">
      <w:pPr>
        <w:pStyle w:val="a5"/>
        <w:numPr>
          <w:ilvl w:val="0"/>
          <w:numId w:val="5"/>
        </w:numPr>
        <w:jc w:val="both"/>
      </w:pPr>
      <w:r>
        <w:t>Добавить столбец «Отклонение от переданного на объект, Сумма», рассчитывается как Отклонение от переданного на объект, Кол-во * Цена.</w:t>
      </w:r>
    </w:p>
    <w:p w:rsidR="00253F5C" w:rsidRDefault="00253F5C" w:rsidP="00253F5C">
      <w:pPr>
        <w:pStyle w:val="1"/>
      </w:pPr>
      <w:r>
        <w:t>Доработка настроек пользователей (права)</w:t>
      </w:r>
    </w:p>
    <w:p w:rsidR="00253F5C" w:rsidRDefault="00253F5C" w:rsidP="00253F5C">
      <w:pPr>
        <w:jc w:val="both"/>
      </w:pPr>
    </w:p>
    <w:p w:rsidR="00253F5C" w:rsidRDefault="00253F5C" w:rsidP="00253F5C">
      <w:pPr>
        <w:jc w:val="both"/>
      </w:pPr>
      <w:r>
        <w:t xml:space="preserve">Реализовать в системе механизм простой настройки видимости столбцов отчёта план/факт по конкретным пользователям, который позволит </w:t>
      </w:r>
      <w:r w:rsidR="00DD7F72">
        <w:t>администратору системы для каждого конкретного пользователя предоставить доступ к видимости выбранных столбцов, а именно:</w:t>
      </w:r>
    </w:p>
    <w:p w:rsidR="00DD7F72" w:rsidRDefault="00DD7F72" w:rsidP="00253F5C">
      <w:pPr>
        <w:jc w:val="both"/>
      </w:pPr>
      <w:r>
        <w:t xml:space="preserve">Цена, Количество План, Передано на объект, Возврат, Брак, </w:t>
      </w:r>
      <w:proofErr w:type="spellStart"/>
      <w:r>
        <w:t>Факт.Расход</w:t>
      </w:r>
      <w:proofErr w:type="spellEnd"/>
      <w:r>
        <w:t>, Отклонение, Стоимость Факт, Кол-во материала на объекте, Отклонение от переданного на объект Кол-во, Отклонение от переданного на объект Сумма.</w:t>
      </w:r>
    </w:p>
    <w:p w:rsidR="00DD7F72" w:rsidRPr="00253F5C" w:rsidRDefault="00DD7F72" w:rsidP="00253F5C">
      <w:pPr>
        <w:jc w:val="both"/>
      </w:pPr>
      <w:r>
        <w:t>Доступ к настройке предоставить только пользователю с Полными правами, разместить настройку в интерфейсе «Кредо-Сервис».</w:t>
      </w:r>
    </w:p>
    <w:sectPr w:rsidR="00DD7F72" w:rsidRPr="0025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88F"/>
    <w:multiLevelType w:val="hybridMultilevel"/>
    <w:tmpl w:val="BC4C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05E4"/>
    <w:multiLevelType w:val="hybridMultilevel"/>
    <w:tmpl w:val="CE9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D4A5B"/>
    <w:multiLevelType w:val="hybridMultilevel"/>
    <w:tmpl w:val="BC4C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B260C"/>
    <w:multiLevelType w:val="hybridMultilevel"/>
    <w:tmpl w:val="B2F4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1DA0"/>
    <w:multiLevelType w:val="hybridMultilevel"/>
    <w:tmpl w:val="986E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29"/>
    <w:rsid w:val="00030E72"/>
    <w:rsid w:val="00073AF4"/>
    <w:rsid w:val="00253F5C"/>
    <w:rsid w:val="00276843"/>
    <w:rsid w:val="0029074A"/>
    <w:rsid w:val="00304136"/>
    <w:rsid w:val="003D587A"/>
    <w:rsid w:val="00476995"/>
    <w:rsid w:val="004B0129"/>
    <w:rsid w:val="004E7CB9"/>
    <w:rsid w:val="005D7F7C"/>
    <w:rsid w:val="006B3460"/>
    <w:rsid w:val="006E5FC1"/>
    <w:rsid w:val="00770593"/>
    <w:rsid w:val="007D1392"/>
    <w:rsid w:val="007D29B7"/>
    <w:rsid w:val="008467AB"/>
    <w:rsid w:val="00901D46"/>
    <w:rsid w:val="0096071D"/>
    <w:rsid w:val="00971402"/>
    <w:rsid w:val="00A05597"/>
    <w:rsid w:val="00A1387C"/>
    <w:rsid w:val="00A65686"/>
    <w:rsid w:val="00BB0174"/>
    <w:rsid w:val="00BF30AB"/>
    <w:rsid w:val="00C1708C"/>
    <w:rsid w:val="00DD7F72"/>
    <w:rsid w:val="00E17502"/>
    <w:rsid w:val="00E804DB"/>
    <w:rsid w:val="00E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5230"/>
  <w15:chartTrackingRefBased/>
  <w15:docId w15:val="{5F1F3F42-5AB5-4F49-BDB1-0CEA38CE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1D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E5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6B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"Софт-Бизнес"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Калмыков</dc:creator>
  <cp:keywords/>
  <dc:description/>
  <cp:lastModifiedBy>Антон Калмыков</cp:lastModifiedBy>
  <cp:revision>24</cp:revision>
  <dcterms:created xsi:type="dcterms:W3CDTF">2022-08-30T08:46:00Z</dcterms:created>
  <dcterms:modified xsi:type="dcterms:W3CDTF">2022-09-01T08:38:00Z</dcterms:modified>
</cp:coreProperties>
</file>