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80" w:rsidRDefault="00B34580">
      <w:pPr>
        <w:spacing w:after="0" w:line="240" w:lineRule="auto"/>
        <w:ind w:firstLine="709"/>
        <w:jc w:val="center"/>
        <w:rPr>
          <w:rFonts w:ascii="Times New Roman" w:hAnsi="Times New Roman"/>
          <w:b/>
          <w:sz w:val="20"/>
          <w:szCs w:val="20"/>
        </w:rPr>
      </w:pPr>
    </w:p>
    <w:p w:rsidR="00B34580" w:rsidRDefault="0086541C">
      <w:pPr>
        <w:spacing w:after="0" w:line="240" w:lineRule="auto"/>
        <w:ind w:firstLine="709"/>
        <w:jc w:val="center"/>
        <w:rPr>
          <w:rFonts w:ascii="Times New Roman" w:hAnsi="Times New Roman"/>
          <w:b/>
          <w:sz w:val="20"/>
          <w:szCs w:val="20"/>
        </w:rPr>
      </w:pPr>
      <w:r>
        <w:rPr>
          <w:rFonts w:ascii="Times New Roman" w:hAnsi="Times New Roman"/>
          <w:b/>
          <w:sz w:val="20"/>
          <w:szCs w:val="20"/>
        </w:rPr>
        <w:t xml:space="preserve">Соглашение к трудовому договору № </w:t>
      </w:r>
      <w:r w:rsidR="00E148FB" w:rsidRPr="00E148FB">
        <w:rPr>
          <w:rFonts w:ascii="Times New Roman" w:hAnsi="Times New Roman"/>
          <w:b/>
          <w:sz w:val="20"/>
          <w:szCs w:val="20"/>
          <w:highlight w:val="yellow"/>
        </w:rPr>
        <w:t>[номер договора в документе приём на работу]</w:t>
      </w:r>
    </w:p>
    <w:p w:rsidR="00B34580" w:rsidRDefault="0086541C">
      <w:pPr>
        <w:spacing w:after="0" w:line="240" w:lineRule="auto"/>
        <w:ind w:firstLine="709"/>
        <w:jc w:val="center"/>
        <w:rPr>
          <w:rFonts w:ascii="Times New Roman" w:hAnsi="Times New Roman"/>
          <w:b/>
          <w:sz w:val="20"/>
          <w:szCs w:val="20"/>
        </w:rPr>
      </w:pPr>
      <w:r>
        <w:rPr>
          <w:rFonts w:ascii="Times New Roman" w:hAnsi="Times New Roman"/>
          <w:b/>
          <w:sz w:val="20"/>
          <w:szCs w:val="20"/>
        </w:rPr>
        <w:t>о конфиденциальности и неразглашении информации</w:t>
      </w:r>
    </w:p>
    <w:p w:rsidR="00B34580" w:rsidRDefault="00B34580">
      <w:pPr>
        <w:spacing w:after="0" w:line="240" w:lineRule="auto"/>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1. ОПРЕДЕЛЕНИЯ </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«Информация» означает сведения о лицах, предметах, фактах, событиях, явлениях и процессах независимо от формы их представления.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«Коммерческая тайна» означает защищаемые Стороной сведения в области ее коммерческой деятельности, распространение которых может нанести ущерб (убытки) Стороне. Это конфиденциальность информации, позволяющая ее обладателю (т.е. Обществу) при существующих или возможных обстоятельствах увеличить доходы, избежать неоправданных расходов, сохранить положение на рынке услуг или получить иную коммерческую выгоду.</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«Компенсация» означает средство правовой защиты при нарушении Стороной своих обязательств по настоящему соглашению, основанная на выгоде, полученной Стороной в результате нарушения своих обязательств по настоящему Соглашению.</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«Конфиденциальная информация» означает сведения, имеющие действительную или потенциальную коммерческую ценность в силу их неизвестности третьим лицам, к ним нет свободного доступа на законном основании и Общество принимает меры к охране их конфиденциальности. К конфиденциальной информации относятся в том числе сведения о существенных событиях и действиях, прямо или косвенно затрагивающих финансово-хозяйственную деятельность Общества, вне зависимости от того, является ли эта информация документированной.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«Разглашение» означает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становится известной третьим лицам без согласия обладателя такой информации.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«Соглашение» означает настоящие условия, а также все дополнения и приложения, содержащие ссылки на настоящие условия, соглашения, протоколы и иные документы, полностью или частично дополняющие настоящие условия, либо в которых прямо указано, что они являются дополнительными по отношению к настоящему Соглашению. Указанные документы составляют единое соглашение между Сторонами.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«Правовая охрана/режим коммерческой тайны» – правовые, организационные, технические и иные принимаемые обладателями информации, составляющей коммерческую тайну, меры по охране ее конфиденциальности.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«Убытки» означает расходы, которые Общество произвела или должна будет произвести для восстановления нарушенного права, утрата или повреждение имущества (реальный ущерб) Общества, а также неполученные доходы, которые Общество получило бы при обычных условиях гражданского оборота, если бы ее право не было нарушено (упущенная выгода).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 «Условие / Условия» означает одно или несколько условий Соглашения.</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2. ОБЩИЕ ПОЛОЖЕНИЯ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2.1. Предмет регулирования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Настоящее Соглашение определяет права и обязанности Сторон, возникающие при передаче конфиденциальной информации вне зависимости от формы ее представления и способа передачи.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2.2. Пределы действия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Обязательства Сторон по настоящему Соглашению распространяются на все отношения Сторон с момента подписания Соглашения.</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 ПРЕДМЕТ СОГЛАШЕНИЯ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3.1. Конфиденциальная информация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Конфиденциальной информацией Стороны признают любые полученные Работником сведения об Обществе, за исключением сведений: (а) разглашенных или раскрытых Обществом самостоятельно или с его согласия; (б) независимо полученных Работником законным путем от третьих лиц, которые имеют подтвержденные права владения и распоряжения информацией; (в) были санкционированы для раскрытия Обществом в силу взятия на себя обязательств по открытому обмену сведениями или изменения объективных обстоятельств, вследствие которого дальнейшая защита сведений, составляющих коммерческую и служебную тайну, является нецелесообразной.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3.2. Коммерческая тайна </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Правовая охрана, предоставляемая настоящим Соглашением, распространяется в том числе на коммерческую тайну Общества, представленную в виде результатов интеллектуальной деятельности (ноу-хау), а также на информацию, не содержащую результатов творческой деятельности, но предназначенную для ограниченного круга лиц, в том числе, на: (1) первичные бухгалтерские документы и промежуточные финансовые отчеты; (2) сведения о наиболее выгодных формах использования денежных средств, ценных бумаг, акций; (3) деловую переписку; (4) списки клиентов; (5) сведения о заключенных договорах (контрактах), их содержании, предложения по их заключению; (6) планы развития и реорганизации производства; (7) структуры и методы управления; связи внутри и вне Общества; (8) распределение должностных обязанностей и их содержание; (9) кадровый состав, его подбор, формирование; (10) иную информацию, не подпадающую под определенный законом и иными правовыми актами перечень сведений, которые не могут составлять коммерческую тайну.</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lastRenderedPageBreak/>
        <w:t>Общество устанавливают режим коммерческой тайны для всей информации, получаемой и используемой Работником в процессе выполнения им своих трудовых обязанностей.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3.3. Форма представления информации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Правовая охрана распространяется на коммерческую тайну Общества независимо от вида носителя информации и формы ее представления (выражения).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3.4. Установление ограничений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Общество устанавливает ограничения на распространение конфиденциальной информации как с момента ее получения (разработки) Обществом, так и заблаговременно.</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Отсутствие правовых, организационных, технических и иных мер по охране информации (режим коммерческой тайны) в отношении каких-либо научно-технических, коммерческих, организационных или иных используемых в предпринимательской деятельности Общества сведений не является обстоятельством, освобождающим Работника от выполнения обязательств по настоящему Соглашению.</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3.5. Обязательство о неразглашении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Работник, получивший информацию, обязуется ни при каких условиях не разглашать, не предоставлять, не распространять, не обсуждать и не воспроизводить сообщения, материалы, документы или иные виды информации, имеющие отношение к деятельности Общества, без прямо выраженного письменного согласия Общества. Такое письменное согласие будет иметь силу только в том случае, если оно подписано уполномоченным лицом Общества.</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 ОБЯЗАННОСТИ РАБОТНИКА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4.1. В период действия Соглашения не разглашать, не передавать третьим лицам и не использовать для личных и иных целей сведения, составляющие коммерческую, профессиональную тайну и другую конфиденциальную информацию, которые будут доверены или станут известны Работнику при исполнении служебных обязанностей, не представлять интересы других коммерческих и государственных организаций, не получать от их представителей денежных вознаграждений, за исключением случаев, когда это требуется в связи с выполнением трудовых функций и только с письменного разрешения Общества. </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4.2. Незамедлительно сообщать Обществу о допущенном Работником, либо ставшем ему известном факте разглашения или угрозы разглашения Конфиденциальной информации, незаконном получении или незаконном ее использовании третьими лицами, обо всех попытках третьих лиц получить доступ к Конфиденциальной информации, предотвращать несанкционированный доступ третьих лиц к любой части Конфиденциальной информации.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4.3. В период действия Соглашения прямо или косвенно не предпринимать попыток склонять сотрудников или консультантов Общества к трудоустройству или принятию предложений о найме или иных предложений от третьих лиц, чья деятельность может конкурировать или противоречить интересам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4.4. При прекращении трудовых отношений вернуть все имеющиеся в его распоряжении документы, вне зависимости от их носителя, содержащие коммерческую тайну Общества, либо уничтожить их незамедлительно по распоряжению Общества, в присутствии уполномоченного представителя Общества.</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 ОТВЕТСТВЕННОСТЬ</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Работник, не исполняющий или ненадлежащим образом исполняющий свои обязательства по настоящему Соглашению, несет ответственность в порядке, установленном законодательством РФ и настоящим Соглашением.</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5.1. Прекращение действий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Работник, нарушивший положения Соглашения №1, обязан незамедлительно прекратить совершение действий, ведущих к нарушению режима коммерческой тайны и разглашению конфиденциальной информации, либо создающие угрозу нарушения прав на коммерческую тайну.</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5.2. Возмещение убытков и компенсация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Работник, нарушивший обязательства, взятые на себя по Соглашению, обязан возместить убытки, причиненные разглашением или неправомерным использованием информации, составляющей коммерческую тайну в течение 30 (тридцати) дней со дня получения уведомления от Общества. В случае невозможности урегулирования вопроса по согласию сторон, Общество вправе обратиться с исковым заявлением в суд по месту нахождения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5.3. Компенсация доходов</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Работник, нарушивший обязательства, взятые на себя по Соглашению, также обязан выплатить Обществу сумму, эквивалентную сумме дохода, полученного Работником вследствие нарушения прав на коммерческую тайну.</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 ДЕЛИМОСТЬ СОГЛАШЕНИЯ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Признание одного или нескольких содержащихся в Соглашении положений недействительными, незаконными или не подлежащими правовой защите в силу действия закона, не влияет на действительность, законность и защищенность остальных условий.</w:t>
      </w:r>
    </w:p>
    <w:p w:rsidR="00B34580" w:rsidRDefault="00B34580">
      <w:pPr>
        <w:spacing w:after="0" w:line="240" w:lineRule="auto"/>
        <w:ind w:firstLine="709"/>
        <w:jc w:val="both"/>
        <w:rPr>
          <w:rFonts w:ascii="Times New Roman" w:hAnsi="Times New Roman"/>
          <w:sz w:val="20"/>
          <w:szCs w:val="20"/>
        </w:rPr>
      </w:pP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7. ПРИМЕНИМОЕ ПРАВО И ПОДСУДНОСТЬ</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Настоящее Соглашение регулируется правом Российской Федерации и толкуется в соответствии с ним. Любые споры, разногласия или требования, возникающие по настоящему Соглашению или в связи с ним, в том </w:t>
      </w:r>
      <w:r>
        <w:rPr>
          <w:rFonts w:ascii="Times New Roman" w:hAnsi="Times New Roman"/>
          <w:sz w:val="20"/>
          <w:szCs w:val="20"/>
        </w:rPr>
        <w:lastRenderedPageBreak/>
        <w:t>числе касающиеся его исполнения, нарушения, прекращения или недействительности, не урегулированные по взаимному согласию Сторон, подлежат разрешению в судебном порядке по месту нахождения Общества.</w:t>
      </w:r>
    </w:p>
    <w:p w:rsidR="00B34580" w:rsidRDefault="00B34580">
      <w:pPr>
        <w:spacing w:after="0" w:line="240" w:lineRule="auto"/>
        <w:jc w:val="both"/>
        <w:rPr>
          <w:rFonts w:ascii="Times New Roman" w:hAnsi="Times New Roman"/>
          <w:sz w:val="20"/>
          <w:szCs w:val="20"/>
        </w:rPr>
      </w:pPr>
    </w:p>
    <w:p w:rsidR="00B34580" w:rsidRDefault="0086541C">
      <w:pPr>
        <w:spacing w:after="0" w:line="240" w:lineRule="auto"/>
        <w:ind w:firstLine="709"/>
        <w:jc w:val="center"/>
        <w:rPr>
          <w:rFonts w:ascii="Times New Roman" w:hAnsi="Times New Roman"/>
          <w:b/>
          <w:sz w:val="20"/>
          <w:szCs w:val="20"/>
        </w:rPr>
      </w:pPr>
      <w:r>
        <w:rPr>
          <w:rFonts w:ascii="Times New Roman" w:hAnsi="Times New Roman"/>
          <w:b/>
          <w:sz w:val="20"/>
          <w:szCs w:val="20"/>
        </w:rPr>
        <w:t>Перечень сведений, составляющих коммерческую/служебную тайну и конфиденциальную информацию ООО УК «ТЕХНО»:</w:t>
      </w:r>
    </w:p>
    <w:p w:rsidR="00B34580" w:rsidRDefault="00B34580">
      <w:pPr>
        <w:spacing w:after="0" w:line="240" w:lineRule="auto"/>
        <w:ind w:firstLine="709"/>
        <w:jc w:val="center"/>
        <w:rPr>
          <w:rFonts w:ascii="Times New Roman" w:hAnsi="Times New Roman"/>
          <w:b/>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Настоящий Перечень дает полное и всестороннее перечисление сведений, на которые распространяется режим сохранности конфиденциальной информации в Обществе.</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1. Научно-технические, производственные и технологические вопросы. </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1.1. Сведения об организации системы связи Общества, включая сведения о расположении технических средств и их технических характеристиках, особенностях построения сети связи, а также планируемых мероприятиях по дальнейшему развитию сети. </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1.2. Сведения о целях, задачах, программах перспективных научных исследований.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1.3. Ключевые идеи научно-исследовательской работ, ход выполнения НИОКР, ведущихся в интересах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1.4. Точные значения конструкционных характеристик создаваемых изделий и оптимальных параметров разрабатываемых технологических процессов.</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1.5. Сведения о материалах, из которых изготовлены отдельные изделия.</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1.6. Данные об условиях и результатах экспериментов и тестов сетей и оборудования связи, а также о характеристиках аппаратуры, на которой они проводились.</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1.7. Сведения об особенностях конструкторско-технологических, художественно-технических решений, затрагивающих интересы Общества и дающих положительный экономический эффект.</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1.8. Сведения о методах защиты товарных знаков.</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1.9. Аналитические и графические зависимости, отражающие найденные закономерности и взаимосвязи перспектив развития бизнеса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1.10.Сведения о состоянии компьютерного оборудования и используемого программного обеспечения. </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2. Административно-управленческие и кадровые вопросы.</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2.1. Сведения о применяемых методах управления предприятием, принципах подбора менеджеров и персонала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2.2. Сведения о подготовке, принятии и исполнении отдельных решений руководства предприятия по коммерческим, организационным, производственным, научно-техническим и иным вопросам. </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2.3. Сведения о фактах, целях, предмете и результатах проведения совещаний и заседаний органов управления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 xml:space="preserve">2.4. Сведения о размере фонда оплаты труда, системе премирования; персональные данные работников; картотеки учета работников; кадровые приказы и основания к ним; </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 Перспективное планирование деятельности.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3.1.Сведения о планах партнеров по расширению или свертыванию в интересах Общества производства различных видов продукции. Технико-экономическое и маркетинговое обоснования подобных шагов.</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3.2.Сведения о планах по инвестициям, закупкам и продажам.</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3.3.Сведения о рыночной стратегии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3.4.Сведения о планируемых Обществом методах осуществления продаж, маркетинговых шагах (изменение тарифных планов, введение дополнительных скидок, введение дополнительных услуг, планируемые PR-акции, особенности рекламной кампании и т.д.), а также объемов финансирования на их проведение.</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3.5.Сведения об эффективности коммерческой деятельности.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3.6.Сведения о результатах собственных маркетинговых исследований, содержащих оценки состояния и перспектив развития рыночной конъюнктуры.</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3.7.Сведения о предполагаемых закупках отдельных патентов, лицензий и образцов техники.</w:t>
      </w:r>
    </w:p>
    <w:p w:rsidR="00B34580" w:rsidRDefault="00B34580">
      <w:pPr>
        <w:spacing w:after="0" w:line="240" w:lineRule="auto"/>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 Финансово-экономические вопросы.</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4.1.Конкретные сведения, раскрывающие текущие бюджетные показатели бизнес-плана общества в части доходов, прямых затрат, эксплуатационных и вне эксплуатационных расходов, оборотных средств.</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4.2.Конкретные сведения о плановых и фактических объемах финансирования капитальных вложений, исследовательских работ и затрат на внедрение новой техники.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4.3.Конкретные сведения о размерах и условиях размещения/привлечения денежных средств в кредитных учреждениях.</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4.4.Сведения об условиях заключения долгосрочных финансовых проектов (финансовый лизинг, долгосрочное кредитование и т.д.).</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4.5.Сведения об объемах финансирования новых проектов и рекламных компаний.</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4.6.Сведения об особых сделках и условиях платежа по бартерным операциям, условиях компенсационных сделок.</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4.7.Сведения о состоянии банковских счетов Общества и текущих банковских операциях по ним.</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 Торгово-экономические вопросы.</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5.1.Сведения о подготовке и результатах проведения переговоров с деловыми партнерами.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5.2.Сведения, раскрывающие позицию представителей Общества при проведении торговых переговоров, разглашение которых может нанести ущерб общества.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5.3.Сведения о сроках, установленных для проработки и заключения сделки, ее условиях, а также факторах, влияющих на ход сделки.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5.4.Сведения о получаемых и прорабатываемых заказах и предложениях фирм.</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5.5.Сведения о внутренних и зарубежных заказчиках, подрядчиках, поставщиках, клиентах, потребителях, покупателях, компаньонах, спонсорах, посредниках и других партнерах деловых отношений предприятия, преждевременное распространение информации о которых может причинить ущерб Обществу.</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5.6 Сведения о конкурентах Общества, которые не содержатся в открытой информации.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5.7.Сведения о выгодных поставщиках изделий и комплектующих к ним, придающих изделию новые потребительские качества.</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5.8. Сведения о методах расчета с партнерами по бизнесу, структуре, уровне цен на продукцию и размерах предоставляемых Обществу скидок.</w:t>
      </w:r>
    </w:p>
    <w:p w:rsidR="00B34580" w:rsidRDefault="00B34580">
      <w:pPr>
        <w:spacing w:after="0" w:line="240" w:lineRule="auto"/>
        <w:ind w:firstLine="709"/>
        <w:jc w:val="both"/>
        <w:rPr>
          <w:rFonts w:ascii="Times New Roman" w:hAnsi="Times New Roman"/>
          <w:sz w:val="20"/>
          <w:szCs w:val="20"/>
        </w:rPr>
      </w:pP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 Вопросы безопасности.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6.1.Сведения о порядке и состоянии обеспечения сохранности коммерческой тайны в Обществе.</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6.2.Сведения, составляющие коммерческую тайну предприятий-партнеров и переданные Обществу на доверительной основе</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6.3.Сведения, на конфиденциальности которых настаивает партнер, если это оговорено в договоре или контракте.</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6.4.Сведения по научно-техническим или экономическим вопросам, в отношении третьих сторон, полученные неофициальным путем или по договорам, имеющим положения о соблюдении конфиденциальности.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6.5.Сведения о порядке взаимодействия оперативного персонала министерствами и ведомствами РФ.</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6.6.Сведения о порядке доступа на объекты Общества, кодовые комбинации охранной сигнализации.</w:t>
      </w:r>
    </w:p>
    <w:p w:rsidR="00B34580" w:rsidRDefault="0086541C">
      <w:pPr>
        <w:spacing w:after="0" w:line="240" w:lineRule="auto"/>
        <w:ind w:firstLine="709"/>
        <w:jc w:val="both"/>
        <w:rPr>
          <w:rFonts w:ascii="Times New Roman" w:hAnsi="Times New Roman"/>
          <w:sz w:val="20"/>
          <w:szCs w:val="20"/>
        </w:rPr>
      </w:pPr>
      <w:r>
        <w:rPr>
          <w:rFonts w:ascii="Times New Roman" w:hAnsi="Times New Roman"/>
          <w:sz w:val="20"/>
          <w:szCs w:val="20"/>
        </w:rPr>
        <w:t>6.7.Сведения о порядке и состоянии организации охраны, пропускном режиме, системе сигнализации.</w:t>
      </w:r>
    </w:p>
    <w:p w:rsidR="00B34580" w:rsidRDefault="00B34580">
      <w:pPr>
        <w:spacing w:after="0" w:line="240" w:lineRule="auto"/>
        <w:ind w:firstLine="709"/>
        <w:jc w:val="both"/>
        <w:rPr>
          <w:rFonts w:ascii="Times New Roman" w:hAnsi="Times New Roman"/>
          <w:sz w:val="20"/>
          <w:szCs w:val="20"/>
        </w:rPr>
      </w:pPr>
    </w:p>
    <w:p w:rsidR="00B34580" w:rsidRDefault="00B34580">
      <w:pPr>
        <w:spacing w:after="0" w:line="240" w:lineRule="auto"/>
        <w:ind w:firstLine="709"/>
        <w:jc w:val="both"/>
        <w:rPr>
          <w:rFonts w:ascii="Times New Roman" w:hAnsi="Times New Roman"/>
          <w:sz w:val="20"/>
          <w:szCs w:val="20"/>
        </w:rPr>
      </w:pPr>
    </w:p>
    <w:p w:rsidR="00B34580" w:rsidRDefault="00B34580">
      <w:pPr>
        <w:spacing w:after="0" w:line="240" w:lineRule="auto"/>
        <w:ind w:firstLine="709"/>
        <w:jc w:val="both"/>
        <w:rPr>
          <w:rFonts w:ascii="Times New Roman" w:hAnsi="Times New Roman"/>
        </w:rPr>
      </w:pPr>
    </w:p>
    <w:p w:rsidR="00B34580" w:rsidRDefault="0086541C">
      <w:pPr>
        <w:spacing w:after="0" w:line="240" w:lineRule="auto"/>
        <w:ind w:firstLine="709"/>
        <w:jc w:val="both"/>
        <w:rPr>
          <w:rFonts w:ascii="Times New Roman" w:hAnsi="Times New Roman"/>
          <w:sz w:val="20"/>
        </w:rPr>
      </w:pPr>
      <w:r>
        <w:rPr>
          <w:rFonts w:ascii="Times New Roman" w:hAnsi="Times New Roman"/>
          <w:sz w:val="20"/>
        </w:rPr>
        <w:t xml:space="preserve">Ознакомлен, согласен(а): _________________ / </w:t>
      </w:r>
      <w:r w:rsidR="00E148FB" w:rsidRPr="00301B8F">
        <w:rPr>
          <w:rFonts w:ascii="Times New Roman" w:hAnsi="Times New Roman"/>
          <w:highlight w:val="yellow"/>
        </w:rPr>
        <w:t>[ФИО сотрудника формат: Суханова А.Д.]</w:t>
      </w:r>
      <w:r w:rsidR="00E148FB" w:rsidRPr="00301B8F">
        <w:rPr>
          <w:rFonts w:ascii="Times New Roman" w:hAnsi="Times New Roman"/>
        </w:rPr>
        <w:t>/</w:t>
      </w:r>
    </w:p>
    <w:p w:rsidR="00B34580" w:rsidRDefault="00E148FB">
      <w:pPr>
        <w:spacing w:after="0" w:line="240" w:lineRule="auto"/>
        <w:ind w:firstLine="709"/>
        <w:jc w:val="both"/>
        <w:rPr>
          <w:rFonts w:ascii="Times New Roman" w:hAnsi="Times New Roman"/>
          <w:sz w:val="20"/>
          <w:szCs w:val="20"/>
        </w:rPr>
      </w:pPr>
      <w:r w:rsidRPr="00CE51DC">
        <w:rPr>
          <w:rFonts w:ascii="Times New Roman" w:hAnsi="Times New Roman"/>
          <w:bCs/>
          <w:sz w:val="20"/>
          <w:szCs w:val="20"/>
          <w:highlight w:val="yellow"/>
        </w:rPr>
        <w:t>[дата от формат :“03” апреля 2012 г.]</w:t>
      </w:r>
    </w:p>
    <w:p w:rsidR="00B34580" w:rsidRDefault="00B34580">
      <w:pPr>
        <w:spacing w:after="0" w:line="240" w:lineRule="auto"/>
        <w:ind w:firstLine="709"/>
        <w:jc w:val="both"/>
        <w:rPr>
          <w:rFonts w:ascii="Times New Roman" w:hAnsi="Times New Roman"/>
          <w:sz w:val="20"/>
          <w:szCs w:val="20"/>
        </w:rPr>
      </w:pPr>
    </w:p>
    <w:p w:rsidR="00B34580" w:rsidRDefault="00B453B1">
      <w:pPr>
        <w:spacing w:after="0" w:line="240" w:lineRule="auto"/>
        <w:ind w:firstLine="709"/>
        <w:jc w:val="both"/>
        <w:rPr>
          <w:rFonts w:ascii="Times New Roman" w:hAnsi="Times New Roman"/>
          <w:sz w:val="20"/>
          <w:szCs w:val="20"/>
        </w:rPr>
      </w:pPr>
      <w:r w:rsidRPr="00B453B1">
        <w:rPr>
          <w:rFonts w:ascii="Times New Roman" w:hAnsi="Times New Roman"/>
          <w:sz w:val="20"/>
          <w:szCs w:val="20"/>
          <w:highlight w:val="yellow"/>
        </w:rPr>
        <w:t xml:space="preserve">[должность ответственное лицо </w:t>
      </w:r>
      <w:proofErr w:type="spellStart"/>
      <w:r w:rsidRPr="00B453B1">
        <w:rPr>
          <w:rFonts w:ascii="Times New Roman" w:hAnsi="Times New Roman"/>
          <w:sz w:val="20"/>
          <w:szCs w:val="20"/>
          <w:highlight w:val="yellow"/>
        </w:rPr>
        <w:t>юр.лица</w:t>
      </w:r>
      <w:proofErr w:type="spellEnd"/>
      <w:r w:rsidRPr="00B453B1">
        <w:rPr>
          <w:rFonts w:ascii="Times New Roman" w:hAnsi="Times New Roman"/>
          <w:sz w:val="20"/>
          <w:szCs w:val="20"/>
          <w:highlight w:val="yellow"/>
        </w:rPr>
        <w:t xml:space="preserve"> Руководитель]</w:t>
      </w:r>
      <w:r w:rsidR="0086541C">
        <w:rPr>
          <w:rFonts w:ascii="Times New Roman" w:hAnsi="Times New Roman"/>
          <w:sz w:val="20"/>
          <w:szCs w:val="20"/>
        </w:rPr>
        <w:t xml:space="preserve"> </w:t>
      </w:r>
      <w:r>
        <w:rPr>
          <w:rFonts w:ascii="Times New Roman" w:hAnsi="Times New Roman"/>
          <w:b/>
          <w:highlight w:val="yellow"/>
        </w:rPr>
        <w:t>[Сокращенное</w:t>
      </w:r>
      <w:r w:rsidRPr="00C5732A">
        <w:rPr>
          <w:rFonts w:ascii="Times New Roman" w:hAnsi="Times New Roman"/>
          <w:b/>
          <w:highlight w:val="yellow"/>
        </w:rPr>
        <w:t xml:space="preserve"> наименовани</w:t>
      </w:r>
      <w:r>
        <w:rPr>
          <w:rFonts w:ascii="Times New Roman" w:hAnsi="Times New Roman"/>
          <w:b/>
          <w:highlight w:val="yellow"/>
        </w:rPr>
        <w:t>е юридического лица]</w:t>
      </w:r>
      <w:r w:rsidR="0086541C">
        <w:rPr>
          <w:rFonts w:ascii="Times New Roman" w:hAnsi="Times New Roman"/>
          <w:sz w:val="20"/>
          <w:szCs w:val="20"/>
        </w:rPr>
        <w:t xml:space="preserve">_________________ / </w:t>
      </w:r>
      <w:r w:rsidR="00CE51DC" w:rsidRPr="00CE51DC">
        <w:rPr>
          <w:rFonts w:ascii="Times New Roman" w:hAnsi="Times New Roman"/>
          <w:sz w:val="20"/>
          <w:szCs w:val="20"/>
          <w:highlight w:val="yellow"/>
        </w:rPr>
        <w:t>[ФИО ответств</w:t>
      </w:r>
      <w:r w:rsidR="00CE51DC">
        <w:rPr>
          <w:rFonts w:ascii="Times New Roman" w:hAnsi="Times New Roman"/>
          <w:sz w:val="20"/>
          <w:szCs w:val="20"/>
          <w:highlight w:val="yellow"/>
        </w:rPr>
        <w:t xml:space="preserve">енное лицо </w:t>
      </w:r>
      <w:proofErr w:type="spellStart"/>
      <w:r w:rsidR="00CE51DC">
        <w:rPr>
          <w:rFonts w:ascii="Times New Roman" w:hAnsi="Times New Roman"/>
          <w:sz w:val="20"/>
          <w:szCs w:val="20"/>
          <w:highlight w:val="yellow"/>
        </w:rPr>
        <w:t>юр.лица</w:t>
      </w:r>
      <w:proofErr w:type="spellEnd"/>
      <w:r w:rsidR="00CE51DC">
        <w:rPr>
          <w:rFonts w:ascii="Times New Roman" w:hAnsi="Times New Roman"/>
          <w:sz w:val="20"/>
          <w:szCs w:val="20"/>
          <w:highlight w:val="yellow"/>
        </w:rPr>
        <w:t xml:space="preserve"> Руководитель</w:t>
      </w:r>
      <w:r w:rsidR="00CE51DC" w:rsidRPr="00CE51DC">
        <w:rPr>
          <w:rFonts w:ascii="Times New Roman" w:hAnsi="Times New Roman"/>
          <w:sz w:val="20"/>
          <w:szCs w:val="20"/>
          <w:highlight w:val="yellow"/>
        </w:rPr>
        <w:t xml:space="preserve">  формат Федоров С.С./]  </w:t>
      </w:r>
    </w:p>
    <w:p w:rsidR="00B34580" w:rsidRDefault="00E148FB">
      <w:pPr>
        <w:spacing w:after="0" w:line="240" w:lineRule="auto"/>
        <w:ind w:firstLine="709"/>
        <w:jc w:val="both"/>
        <w:rPr>
          <w:rFonts w:ascii="Times New Roman" w:hAnsi="Times New Roman"/>
          <w:sz w:val="20"/>
          <w:szCs w:val="20"/>
        </w:rPr>
      </w:pPr>
      <w:r w:rsidRPr="00E148FB">
        <w:rPr>
          <w:rFonts w:ascii="Times New Roman" w:hAnsi="Times New Roman"/>
          <w:bCs/>
          <w:sz w:val="20"/>
          <w:szCs w:val="20"/>
          <w:highlight w:val="yellow"/>
        </w:rPr>
        <w:t>[дата от формат :“03” апреля 2012 г.]</w:t>
      </w:r>
    </w:p>
    <w:p w:rsidR="00B34580" w:rsidRDefault="00B34580">
      <w:pPr>
        <w:spacing w:after="0" w:line="240" w:lineRule="auto"/>
        <w:jc w:val="both"/>
        <w:rPr>
          <w:rFonts w:ascii="Times New Roman" w:hAnsi="Times New Roman"/>
          <w:sz w:val="20"/>
          <w:szCs w:val="20"/>
        </w:rPr>
      </w:pPr>
    </w:p>
    <w:p w:rsidR="00B34580" w:rsidRDefault="00B34580">
      <w:pPr>
        <w:rPr>
          <w:rFonts w:ascii="Times New Roman" w:hAnsi="Times New Roman"/>
          <w:sz w:val="20"/>
          <w:szCs w:val="20"/>
        </w:rPr>
      </w:pPr>
    </w:p>
    <w:p w:rsidR="00B34580" w:rsidRDefault="00B34580">
      <w:pPr>
        <w:rPr>
          <w:rFonts w:ascii="Times New Roman" w:hAnsi="Times New Roman"/>
          <w:sz w:val="20"/>
          <w:szCs w:val="20"/>
        </w:rPr>
      </w:pPr>
    </w:p>
    <w:p w:rsidR="00B34580" w:rsidRDefault="00B34580">
      <w:pPr>
        <w:rPr>
          <w:rFonts w:ascii="Times New Roman" w:hAnsi="Times New Roman"/>
          <w:sz w:val="20"/>
          <w:szCs w:val="20"/>
        </w:rPr>
      </w:pPr>
    </w:p>
    <w:p w:rsidR="00B34580" w:rsidRDefault="00B34580">
      <w:pPr>
        <w:rPr>
          <w:rFonts w:ascii="Times New Roman" w:hAnsi="Times New Roman"/>
          <w:sz w:val="20"/>
          <w:szCs w:val="20"/>
        </w:rPr>
      </w:pPr>
    </w:p>
    <w:p w:rsidR="00B34580" w:rsidRDefault="00B34580">
      <w:pPr>
        <w:rPr>
          <w:rFonts w:ascii="Times New Roman" w:hAnsi="Times New Roman"/>
          <w:sz w:val="20"/>
          <w:szCs w:val="20"/>
        </w:rPr>
      </w:pPr>
    </w:p>
    <w:p w:rsidR="00B34580" w:rsidRDefault="0086541C">
      <w:pPr>
        <w:tabs>
          <w:tab w:val="left" w:pos="3570"/>
        </w:tabs>
        <w:rPr>
          <w:rFonts w:ascii="Times New Roman" w:hAnsi="Times New Roman"/>
          <w:sz w:val="20"/>
          <w:szCs w:val="20"/>
        </w:rPr>
      </w:pPr>
      <w:r>
        <w:rPr>
          <w:rFonts w:ascii="Times New Roman" w:hAnsi="Times New Roman"/>
          <w:sz w:val="20"/>
          <w:szCs w:val="20"/>
        </w:rPr>
        <w:tab/>
      </w:r>
      <w:bookmarkStart w:id="0" w:name="_GoBack"/>
      <w:bookmarkEnd w:id="0"/>
    </w:p>
    <w:sectPr w:rsidR="00B34580">
      <w:footerReference w:type="default" r:id="rId6"/>
      <w:pgSz w:w="11906" w:h="16838"/>
      <w:pgMar w:top="495" w:right="851" w:bottom="1134" w:left="1134" w:header="709" w:footer="26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AFB" w:rsidRDefault="00DE5AFB">
      <w:pPr>
        <w:spacing w:after="0" w:line="240" w:lineRule="auto"/>
      </w:pPr>
      <w:r>
        <w:separator/>
      </w:r>
    </w:p>
  </w:endnote>
  <w:endnote w:type="continuationSeparator" w:id="0">
    <w:p w:rsidR="00DE5AFB" w:rsidRDefault="00DE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80" w:rsidRDefault="00E148FB">
    <w:pPr>
      <w:pStyle w:val="ad"/>
      <w:rPr>
        <w:rFonts w:ascii="Times New Roman" w:hAnsi="Times New Roman"/>
        <w:sz w:val="18"/>
      </w:rPr>
    </w:pPr>
    <w:r>
      <w:rPr>
        <w:rFonts w:ascii="Times New Roman" w:hAnsi="Times New Roman"/>
        <w:sz w:val="20"/>
      </w:rPr>
      <w:t>___________________/</w:t>
    </w:r>
    <w:r w:rsidRPr="008D512F">
      <w:rPr>
        <w:rFonts w:ascii="Times New Roman" w:hAnsi="Times New Roman"/>
      </w:rPr>
      <w:t>[</w:t>
    </w:r>
    <w:r w:rsidRPr="00301B8F">
      <w:rPr>
        <w:rFonts w:ascii="Times New Roman" w:hAnsi="Times New Roman"/>
        <w:highlight w:val="yellow"/>
      </w:rPr>
      <w:t>ФИО ответств</w:t>
    </w:r>
    <w:r>
      <w:rPr>
        <w:rFonts w:ascii="Times New Roman" w:hAnsi="Times New Roman"/>
        <w:highlight w:val="yellow"/>
      </w:rPr>
      <w:t xml:space="preserve">енное лицо </w:t>
    </w:r>
    <w:proofErr w:type="spellStart"/>
    <w:r>
      <w:rPr>
        <w:rFonts w:ascii="Times New Roman" w:hAnsi="Times New Roman"/>
        <w:highlight w:val="yellow"/>
      </w:rPr>
      <w:t>юр.лица</w:t>
    </w:r>
    <w:proofErr w:type="spellEnd"/>
    <w:r>
      <w:rPr>
        <w:rFonts w:ascii="Times New Roman" w:hAnsi="Times New Roman"/>
        <w:highlight w:val="yellow"/>
      </w:rPr>
      <w:t xml:space="preserve"> Руководитель</w:t>
    </w:r>
    <w:r w:rsidRPr="00301B8F">
      <w:rPr>
        <w:rFonts w:ascii="Times New Roman" w:hAnsi="Times New Roman"/>
        <w:highlight w:val="yellow"/>
      </w:rPr>
      <w:t xml:space="preserve">  формат Федоров С.С./</w:t>
    </w:r>
    <w:r w:rsidR="0086541C">
      <w:rPr>
        <w:rFonts w:ascii="Times New Roman" w:hAnsi="Times New Roman"/>
        <w:sz w:val="20"/>
      </w:rPr>
      <w:t xml:space="preserve">                                                                   __</w:t>
    </w:r>
    <w:r>
      <w:rPr>
        <w:rFonts w:ascii="Times New Roman" w:hAnsi="Times New Roman"/>
        <w:sz w:val="20"/>
      </w:rPr>
      <w:t xml:space="preserve">________________ / </w:t>
    </w:r>
    <w:r w:rsidRPr="00301B8F">
      <w:rPr>
        <w:rFonts w:ascii="Times New Roman" w:hAnsi="Times New Roman"/>
        <w:highlight w:val="yellow"/>
      </w:rPr>
      <w:t>[ФИО сотрудника формат: Суханова А.Д.]</w:t>
    </w:r>
    <w:r w:rsidR="0086541C">
      <w:rPr>
        <w:rFonts w:ascii="Times New Roman" w:hAnsi="Times New Roman"/>
        <w:sz w:val="20"/>
      </w:rPr>
      <w:t>/</w:t>
    </w:r>
  </w:p>
  <w:p w:rsidR="00B34580" w:rsidRDefault="00B34580">
    <w:pPr>
      <w:pStyle w:val="ad"/>
      <w:jc w:val="right"/>
      <w:rPr>
        <w:rFonts w:ascii="Times New Roman" w:hAnsi="Times New Roman"/>
      </w:rPr>
    </w:pPr>
  </w:p>
  <w:p w:rsidR="00B34580" w:rsidRDefault="0086541C">
    <w:pPr>
      <w:pStyle w:val="ad"/>
      <w:jc w:val="right"/>
      <w:rPr>
        <w:rFonts w:ascii="Times New Roman" w:hAnsi="Times New Roman"/>
        <w:sz w:val="20"/>
      </w:rPr>
    </w:pP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sidR="00B453B1">
      <w:rPr>
        <w:rFonts w:ascii="Times New Roman" w:hAnsi="Times New Roman"/>
        <w:noProof/>
        <w:sz w:val="20"/>
      </w:rPr>
      <w:t>2</w:t>
    </w:r>
    <w:r>
      <w:rPr>
        <w:rFonts w:ascii="Times New Roman" w:hAnsi="Times New Roman"/>
        <w:sz w:val="20"/>
      </w:rPr>
      <w:fldChar w:fldCharType="end"/>
    </w:r>
  </w:p>
  <w:p w:rsidR="00B34580" w:rsidRDefault="00B34580">
    <w:pPr>
      <w:pStyle w:val="ad"/>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AFB" w:rsidRDefault="00DE5AFB">
      <w:pPr>
        <w:spacing w:after="0" w:line="240" w:lineRule="auto"/>
      </w:pPr>
      <w:r>
        <w:separator/>
      </w:r>
    </w:p>
  </w:footnote>
  <w:footnote w:type="continuationSeparator" w:id="0">
    <w:p w:rsidR="00DE5AFB" w:rsidRDefault="00DE5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80"/>
    <w:rsid w:val="0086541C"/>
    <w:rsid w:val="00B34580"/>
    <w:rsid w:val="00B453B1"/>
    <w:rsid w:val="00CE51DC"/>
    <w:rsid w:val="00DE5AFB"/>
    <w:rsid w:val="00E1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911A"/>
  <w15:docId w15:val="{86AD7CFF-CFA8-4F67-8D03-8F340000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sz w:val="22"/>
      <w:szCs w:val="22"/>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ac">
    <w:name w:val="Верхний колонтитул Знак"/>
    <w:basedOn w:val="a0"/>
    <w:link w:val="ab"/>
  </w:style>
  <w:style w:type="character" w:customStyle="1" w:styleId="ae">
    <w:name w:val="Нижний колонтитул Знак"/>
    <w:basedOn w:val="a0"/>
    <w:link w:val="ad"/>
  </w:style>
  <w:style w:type="paragraph" w:styleId="afa">
    <w:name w:val="Balloon Text"/>
    <w:basedOn w:val="a"/>
    <w:link w:val="afb"/>
    <w:semiHidden/>
    <w:pPr>
      <w:spacing w:after="0" w:line="240" w:lineRule="auto"/>
    </w:pPr>
    <w:rPr>
      <w:rFonts w:ascii="Tahoma" w:hAnsi="Tahoma"/>
      <w:sz w:val="16"/>
      <w:szCs w:val="16"/>
    </w:rPr>
  </w:style>
  <w:style w:type="character" w:customStyle="1" w:styleId="afb">
    <w:name w:val="Текст выноски Знак"/>
    <w:link w:val="afa"/>
    <w:semiHidden/>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2356</Words>
  <Characters>13434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Григорий Климов</cp:lastModifiedBy>
  <cp:revision>3</cp:revision>
  <dcterms:created xsi:type="dcterms:W3CDTF">2023-05-26T12:01:00Z</dcterms:created>
  <dcterms:modified xsi:type="dcterms:W3CDTF">2023-05-29T12:04:00Z</dcterms:modified>
</cp:coreProperties>
</file>