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91" w:rsidRPr="00FF1391" w:rsidRDefault="00FF1391" w:rsidP="00FF1391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FF1391">
        <w:rPr>
          <w:rFonts w:ascii="Arial" w:eastAsia="Calibri" w:hAnsi="Arial" w:cs="Arial"/>
          <w:b/>
          <w:sz w:val="28"/>
          <w:szCs w:val="24"/>
        </w:rPr>
        <w:t>Раздел 1. Общая информация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>Разработка выполняется в 1</w:t>
      </w:r>
      <w:proofErr w:type="gramStart"/>
      <w:r w:rsidRPr="00FF1391">
        <w:rPr>
          <w:rFonts w:ascii="Arial" w:eastAsia="Calibri" w:hAnsi="Arial" w:cs="Arial"/>
        </w:rPr>
        <w:t>С:Учет</w:t>
      </w:r>
      <w:proofErr w:type="gramEnd"/>
      <w:r w:rsidRPr="00FF1391">
        <w:rPr>
          <w:rFonts w:ascii="Arial" w:eastAsia="Calibri" w:hAnsi="Arial" w:cs="Arial"/>
        </w:rPr>
        <w:t xml:space="preserve"> в управляющих компаниях ЖКХ, ТСЖ и ЖСК, редакция 3.0 (3.0.136.2) во внешнем отчете.</w:t>
      </w:r>
    </w:p>
    <w:p w:rsidR="00FF1391" w:rsidRPr="00FF1391" w:rsidRDefault="00FF1391" w:rsidP="00FF1391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FF1391">
        <w:rPr>
          <w:rFonts w:ascii="Arial" w:eastAsia="Calibri" w:hAnsi="Arial" w:cs="Arial"/>
          <w:b/>
          <w:sz w:val="28"/>
          <w:szCs w:val="24"/>
        </w:rPr>
        <w:t>Раздел 2. Состав работ</w:t>
      </w:r>
    </w:p>
    <w:p w:rsidR="00FF1391" w:rsidRPr="00FF1391" w:rsidRDefault="00FF1391" w:rsidP="00FF1391">
      <w:pPr>
        <w:numPr>
          <w:ilvl w:val="0"/>
          <w:numId w:val="1"/>
        </w:numPr>
        <w:tabs>
          <w:tab w:val="left" w:pos="708"/>
          <w:tab w:val="left" w:pos="2130"/>
        </w:tabs>
        <w:spacing w:after="200" w:line="276" w:lineRule="auto"/>
        <w:ind w:left="1003" w:hanging="357"/>
        <w:jc w:val="both"/>
        <w:outlineLvl w:val="1"/>
        <w:rPr>
          <w:rFonts w:ascii="Arial" w:eastAsia="Calibri" w:hAnsi="Arial" w:cs="Arial"/>
          <w:b/>
          <w:sz w:val="24"/>
        </w:rPr>
      </w:pPr>
      <w:r w:rsidRPr="00FF1391">
        <w:rPr>
          <w:rFonts w:ascii="Arial" w:eastAsia="Calibri" w:hAnsi="Arial" w:cs="Arial"/>
          <w:b/>
          <w:sz w:val="24"/>
        </w:rPr>
        <w:t>Отчет «Расшифровка доходов УСН по услугам»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>Требуется создать отчет «Расшифровка доходов УСН по услугам» на СКД.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 xml:space="preserve">Цель отчета - выявить отклонение между показателями принимаемых доходов по книге </w:t>
      </w:r>
      <w:proofErr w:type="spellStart"/>
      <w:r w:rsidRPr="00FF1391">
        <w:rPr>
          <w:rFonts w:ascii="Arial" w:eastAsia="Calibri" w:hAnsi="Arial" w:cs="Arial"/>
        </w:rPr>
        <w:t>КУДиР</w:t>
      </w:r>
      <w:proofErr w:type="spellEnd"/>
      <w:r w:rsidRPr="00FF1391">
        <w:rPr>
          <w:rFonts w:ascii="Arial" w:eastAsia="Calibri" w:hAnsi="Arial" w:cs="Arial"/>
        </w:rPr>
        <w:t xml:space="preserve"> и доходов по услугам с реквизитом «в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>. принимаемые», с расшифровкой по услугам.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  <w:i/>
          <w:iCs/>
          <w:u w:val="single"/>
        </w:rPr>
        <w:t>Группировки, отборы:</w:t>
      </w:r>
    </w:p>
    <w:p w:rsidR="00FF1391" w:rsidRPr="00FF1391" w:rsidRDefault="00FF1391" w:rsidP="00FF1391">
      <w:pPr>
        <w:numPr>
          <w:ilvl w:val="0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Организация;</w:t>
      </w:r>
    </w:p>
    <w:p w:rsidR="00FF1391" w:rsidRPr="00FF1391" w:rsidRDefault="00FF1391" w:rsidP="00FF1391">
      <w:pPr>
        <w:numPr>
          <w:ilvl w:val="0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Период (год, 9 месяцев, 1 полугодие, 1 квартал);</w:t>
      </w:r>
    </w:p>
    <w:p w:rsidR="00FF1391" w:rsidRPr="00FF1391" w:rsidRDefault="00FF1391" w:rsidP="00FF1391">
      <w:pPr>
        <w:numPr>
          <w:ilvl w:val="0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Документ оплаты (Источник данных – «Регистратор» (только документы «Поступление на расчетный счет») из регистра накопления «Книга учета доходов и расходов (раздел I)»).</w:t>
      </w:r>
    </w:p>
    <w:p w:rsidR="00FF1391" w:rsidRPr="00FF1391" w:rsidRDefault="00FF1391" w:rsidP="00FF1391">
      <w:pPr>
        <w:numPr>
          <w:ilvl w:val="0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Отклонение не равно 0 (Источник данных – колонка «Отклонение»)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  <w:i/>
          <w:iCs/>
          <w:u w:val="single"/>
        </w:rPr>
        <w:t>Колонки: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Дата и номер первичного документа (Источник данных – «Реквизиты первичного документа» из регистра накопления «Книга учета доходов и расходов (раздел I)»);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Содержание операции (Источник данных – «Содержание» из регистра накопления «Книга учета доходов и расходов (раздел I)»);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Доходы всего (Источник данных – «Доходы всего» из регистра накопления «Книга учета доходов и расходов (раздел I)»);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bookmarkStart w:id="0" w:name="_Hlk139366480"/>
      <w:r w:rsidRPr="00FF1391">
        <w:rPr>
          <w:rFonts w:ascii="Arial" w:eastAsia="Calibri" w:hAnsi="Arial" w:cs="Arial"/>
        </w:rPr>
        <w:t xml:space="preserve">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>. учитываемые</w:t>
      </w:r>
      <w:bookmarkEnd w:id="0"/>
      <w:r w:rsidRPr="00FF1391">
        <w:rPr>
          <w:rFonts w:ascii="Arial" w:eastAsia="Calibri" w:hAnsi="Arial" w:cs="Arial"/>
        </w:rPr>
        <w:t xml:space="preserve"> (Источник данных – </w:t>
      </w:r>
      <w:bookmarkStart w:id="1" w:name="_Hlk139365701"/>
      <w:r w:rsidRPr="00FF1391">
        <w:rPr>
          <w:rFonts w:ascii="Arial" w:eastAsia="Calibri" w:hAnsi="Arial" w:cs="Arial"/>
        </w:rPr>
        <w:t>«Доходы НУ» из регистра накопления «Книга учета доходов и расходов (раздел I)»</w:t>
      </w:r>
      <w:bookmarkEnd w:id="1"/>
      <w:r w:rsidRPr="00FF1391">
        <w:rPr>
          <w:rFonts w:ascii="Arial" w:eastAsia="Calibri" w:hAnsi="Arial" w:cs="Arial"/>
        </w:rPr>
        <w:t>);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 xml:space="preserve">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>. не учитываемые – рассчитываются по формуле:</w:t>
      </w:r>
    </w:p>
    <w:p w:rsidR="00FF1391" w:rsidRPr="00FF1391" w:rsidRDefault="00FF1391" w:rsidP="00FF1391">
      <w:pPr>
        <w:tabs>
          <w:tab w:val="left" w:pos="709"/>
          <w:tab w:val="left" w:pos="2130"/>
        </w:tabs>
        <w:spacing w:after="200" w:line="276" w:lineRule="auto"/>
        <w:ind w:left="397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ab/>
        <w:t xml:space="preserve">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 xml:space="preserve">. не учитываемые = Доходы всего - 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>. учитываемые</w:t>
      </w:r>
      <w:bookmarkStart w:id="2" w:name="_Hlk139524928"/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Доходы принимаемые (расчет)</w:t>
      </w:r>
      <w:bookmarkEnd w:id="2"/>
      <w:r w:rsidRPr="00FF1391">
        <w:rPr>
          <w:rFonts w:ascii="Arial" w:eastAsia="Calibri" w:hAnsi="Arial" w:cs="Arial"/>
        </w:rPr>
        <w:t xml:space="preserve"> – сумма показателей из колонки «Принято».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>Отклонение - рассчитывается по формуле:</w:t>
      </w:r>
    </w:p>
    <w:p w:rsidR="00FF1391" w:rsidRPr="00FF1391" w:rsidRDefault="00FF1391" w:rsidP="00FF1391">
      <w:pPr>
        <w:tabs>
          <w:tab w:val="left" w:pos="709"/>
          <w:tab w:val="left" w:pos="2130"/>
        </w:tabs>
        <w:spacing w:after="200" w:line="276" w:lineRule="auto"/>
        <w:ind w:left="397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 xml:space="preserve">Отклонение = 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>. учитываемые - Доходы принимаемые (расчет)</w:t>
      </w:r>
    </w:p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  <w:i/>
          <w:iCs/>
          <w:u w:val="single"/>
        </w:rPr>
      </w:pPr>
      <w:r w:rsidRPr="00FF1391">
        <w:rPr>
          <w:rFonts w:ascii="Arial" w:eastAsia="Calibri" w:hAnsi="Arial" w:cs="Arial"/>
        </w:rPr>
        <w:t xml:space="preserve">Принято - </w:t>
      </w:r>
      <w:bookmarkStart w:id="3" w:name="_Hlk139555446"/>
      <w:r w:rsidRPr="00FF1391">
        <w:rPr>
          <w:rFonts w:ascii="Arial" w:eastAsia="Calibri" w:hAnsi="Arial" w:cs="Arial"/>
        </w:rPr>
        <w:t xml:space="preserve">включает в себя перечень услуг с реквизитом </w:t>
      </w:r>
      <w:bookmarkStart w:id="4" w:name="_Hlk139557121"/>
      <w:r w:rsidRPr="00FF1391">
        <w:rPr>
          <w:rFonts w:ascii="Arial" w:eastAsia="Calibri" w:hAnsi="Arial" w:cs="Arial"/>
        </w:rPr>
        <w:t xml:space="preserve">«в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>. принимаемые»</w:t>
      </w:r>
      <w:bookmarkEnd w:id="4"/>
      <w:r w:rsidRPr="00FF1391">
        <w:rPr>
          <w:rFonts w:ascii="Arial" w:eastAsia="Calibri" w:hAnsi="Arial" w:cs="Arial"/>
        </w:rPr>
        <w:t xml:space="preserve"> – «считать автоматически</w:t>
      </w:r>
      <w:bookmarkStart w:id="5" w:name="_Hlk139547341"/>
      <w:r w:rsidRPr="00FF1391">
        <w:rPr>
          <w:rFonts w:ascii="Arial" w:eastAsia="Calibri" w:hAnsi="Arial" w:cs="Arial"/>
        </w:rPr>
        <w:t xml:space="preserve">» из регистра сведений «Настройки отражения оплаты в </w:t>
      </w:r>
      <w:proofErr w:type="spellStart"/>
      <w:r w:rsidRPr="00FF1391">
        <w:rPr>
          <w:rFonts w:ascii="Arial" w:eastAsia="Calibri" w:hAnsi="Arial" w:cs="Arial"/>
        </w:rPr>
        <w:t>КУДиР</w:t>
      </w:r>
      <w:proofErr w:type="spellEnd"/>
      <w:r w:rsidRPr="00FF1391">
        <w:rPr>
          <w:rFonts w:ascii="Arial" w:eastAsia="Calibri" w:hAnsi="Arial" w:cs="Arial"/>
        </w:rPr>
        <w:t>».</w:t>
      </w:r>
    </w:p>
    <w:bookmarkEnd w:id="3"/>
    <w:p w:rsidR="00FF1391" w:rsidRPr="00FF1391" w:rsidRDefault="00FF1391" w:rsidP="00FF1391">
      <w:pPr>
        <w:tabs>
          <w:tab w:val="left" w:pos="2130"/>
        </w:tabs>
        <w:spacing w:after="200" w:line="276" w:lineRule="auto"/>
        <w:ind w:left="397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lastRenderedPageBreak/>
        <w:t>Сумму по услуге взять из табличной части «Расшифровка текущей оплаты» документа «Регистрация оплаты», связанного с конкретным документом «Поступление на расчетный счет».</w:t>
      </w:r>
    </w:p>
    <w:bookmarkEnd w:id="5"/>
    <w:p w:rsidR="00FF1391" w:rsidRPr="00FF1391" w:rsidRDefault="00FF1391" w:rsidP="00FF1391">
      <w:pPr>
        <w:numPr>
          <w:ilvl w:val="0"/>
          <w:numId w:val="3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 xml:space="preserve">Не принято - включает в себя перечень услуг с реквизитом «в </w:t>
      </w:r>
      <w:proofErr w:type="spellStart"/>
      <w:r w:rsidRPr="00FF1391">
        <w:rPr>
          <w:rFonts w:ascii="Arial" w:eastAsia="Calibri" w:hAnsi="Arial" w:cs="Arial"/>
        </w:rPr>
        <w:t>т.ч</w:t>
      </w:r>
      <w:proofErr w:type="spellEnd"/>
      <w:r w:rsidRPr="00FF1391">
        <w:rPr>
          <w:rFonts w:ascii="Arial" w:eastAsia="Calibri" w:hAnsi="Arial" w:cs="Arial"/>
        </w:rPr>
        <w:t xml:space="preserve">. принимаемые» – «обнулять» из регистра сведений «Настройки отражения оплаты в </w:t>
      </w:r>
      <w:proofErr w:type="spellStart"/>
      <w:r w:rsidRPr="00FF1391">
        <w:rPr>
          <w:rFonts w:ascii="Arial" w:eastAsia="Calibri" w:hAnsi="Arial" w:cs="Arial"/>
        </w:rPr>
        <w:t>КУДиР</w:t>
      </w:r>
      <w:proofErr w:type="spellEnd"/>
      <w:r w:rsidRPr="00FF1391">
        <w:rPr>
          <w:rFonts w:ascii="Arial" w:eastAsia="Calibri" w:hAnsi="Arial" w:cs="Arial"/>
        </w:rPr>
        <w:t>».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ind w:left="397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>Сумму по услуге взять из табличной части «Расшифровка текущей оплаты» документа «Регистрация оплаты», связанного с конкретным документом «Поступление на расчетный счет».</w:t>
      </w:r>
    </w:p>
    <w:p w:rsidR="00FF1391" w:rsidRPr="00FF1391" w:rsidRDefault="00FF1391" w:rsidP="00FF1391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FF1391">
        <w:rPr>
          <w:rFonts w:ascii="Arial" w:eastAsia="Calibri" w:hAnsi="Arial" w:cs="Arial"/>
        </w:rPr>
        <w:t>Макет отчета находится в приложении 1.</w:t>
      </w:r>
    </w:p>
    <w:p w:rsidR="00125DE4" w:rsidRDefault="00125DE4">
      <w:bookmarkStart w:id="6" w:name="_GoBack"/>
      <w:bookmarkEnd w:id="6"/>
    </w:p>
    <w:sectPr w:rsidR="0012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7C51"/>
    <w:multiLevelType w:val="hybridMultilevel"/>
    <w:tmpl w:val="2AE29A6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6DC6D8D"/>
    <w:multiLevelType w:val="hybridMultilevel"/>
    <w:tmpl w:val="3B7C55D2"/>
    <w:lvl w:ilvl="0" w:tplc="A3DA80CA">
      <w:start w:val="1"/>
      <w:numFmt w:val="bullet"/>
      <w:lvlText w:val=""/>
      <w:lvlJc w:val="left"/>
      <w:pPr>
        <w:ind w:left="397" w:hanging="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95DA1"/>
    <w:multiLevelType w:val="hybridMultilevel"/>
    <w:tmpl w:val="0DBAED62"/>
    <w:lvl w:ilvl="0" w:tplc="A3DA80CA">
      <w:start w:val="1"/>
      <w:numFmt w:val="bullet"/>
      <w:lvlText w:val=""/>
      <w:lvlJc w:val="left"/>
      <w:pPr>
        <w:ind w:left="397" w:hanging="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26"/>
    <w:rsid w:val="00125DE4"/>
    <w:rsid w:val="00CC6826"/>
    <w:rsid w:val="00FF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CE879-CC91-4EAF-9227-4BDE291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3</cp:revision>
  <dcterms:created xsi:type="dcterms:W3CDTF">2023-07-06T18:41:00Z</dcterms:created>
  <dcterms:modified xsi:type="dcterms:W3CDTF">2023-07-06T18:43:00Z</dcterms:modified>
</cp:coreProperties>
</file>