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5000" w:type="pct"/>
        <w:tblInd w:w="0" w:type="dxa"/>
        <w:tblLook w:val="04A0" w:firstRow="1" w:lastRow="0" w:firstColumn="1" w:lastColumn="0" w:noHBand="0" w:noVBand="1"/>
      </w:tblPr>
      <w:tblGrid>
        <w:gridCol w:w="242"/>
        <w:gridCol w:w="227"/>
        <w:gridCol w:w="4798"/>
        <w:gridCol w:w="241"/>
        <w:gridCol w:w="226"/>
        <w:gridCol w:w="4798"/>
        <w:gridCol w:w="241"/>
      </w:tblGrid>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B41019" w:rsidRDefault="00F25902" w:rsidP="00B41019">
            <w:pPr>
              <w:jc w:val="center"/>
              <w:rPr>
                <w:lang w:val="en-US"/>
              </w:rPr>
            </w:pPr>
            <w:r w:rsidRPr="00F25902">
              <w:rPr>
                <w:rFonts w:ascii="Times New Roman" w:hAnsi="Times New Roman"/>
                <w:b/>
                <w:sz w:val="25"/>
                <w:szCs w:val="25"/>
              </w:rPr>
              <w:t xml:space="preserve">Договор поставки металлопроката № </w:t>
            </w:r>
            <w:r w:rsidR="00B41019">
              <w:rPr>
                <w:rFonts w:ascii="Times New Roman" w:hAnsi="Times New Roman"/>
                <w:b/>
                <w:sz w:val="25"/>
                <w:szCs w:val="25"/>
                <w:lang w:val="en-US"/>
              </w:rPr>
              <w:t>&lt;&gt;</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center"/>
            </w:pPr>
            <w:r w:rsidRPr="00F25902">
              <w:rPr>
                <w:rFonts w:ascii="Times New Roman" w:hAnsi="Times New Roman"/>
                <w:b/>
                <w:sz w:val="21"/>
                <w:szCs w:val="21"/>
              </w:rPr>
              <w:t>с условием полной предоплаты товара</w:t>
            </w:r>
          </w:p>
        </w:tc>
      </w:tr>
      <w:tr w:rsidR="00F25902" w:rsidRPr="00F25902" w:rsidTr="00B41019">
        <w:trPr>
          <w:cantSplit/>
          <w:trHeight w:val="369"/>
        </w:trPr>
        <w:tc>
          <w:tcPr>
            <w:tcW w:w="242" w:type="dxa"/>
            <w:vAlign w:val="bottom"/>
          </w:tcPr>
          <w:p w:rsidR="00F25902" w:rsidRPr="00F25902" w:rsidRDefault="00F25902" w:rsidP="00F25902"/>
        </w:tc>
        <w:tc>
          <w:tcPr>
            <w:tcW w:w="227"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c>
          <w:tcPr>
            <w:tcW w:w="226"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r>
      <w:tr w:rsidR="00F25902" w:rsidRPr="00F25902" w:rsidTr="00B41019">
        <w:trPr>
          <w:cantSplit/>
        </w:trPr>
        <w:tc>
          <w:tcPr>
            <w:tcW w:w="242" w:type="dxa"/>
            <w:vAlign w:val="bottom"/>
          </w:tcPr>
          <w:p w:rsidR="00F25902" w:rsidRPr="00F25902" w:rsidRDefault="00F25902" w:rsidP="00F25902"/>
        </w:tc>
        <w:tc>
          <w:tcPr>
            <w:tcW w:w="5266" w:type="dxa"/>
            <w:gridSpan w:val="3"/>
            <w:vAlign w:val="bottom"/>
          </w:tcPr>
          <w:p w:rsidR="00F25902" w:rsidRPr="00F25902" w:rsidRDefault="00F25902" w:rsidP="00F25902">
            <w:r w:rsidRPr="00F25902">
              <w:rPr>
                <w:rFonts w:ascii="Times New Roman" w:hAnsi="Times New Roman"/>
                <w:b/>
                <w:sz w:val="20"/>
                <w:szCs w:val="20"/>
              </w:rPr>
              <w:t>г. Москва</w:t>
            </w:r>
          </w:p>
        </w:tc>
        <w:tc>
          <w:tcPr>
            <w:tcW w:w="5265" w:type="dxa"/>
            <w:gridSpan w:val="3"/>
            <w:vAlign w:val="bottom"/>
          </w:tcPr>
          <w:p w:rsidR="00F25902" w:rsidRPr="00F25902" w:rsidRDefault="00F25902" w:rsidP="00F25902">
            <w:pPr>
              <w:jc w:val="right"/>
            </w:pPr>
            <w:r w:rsidRPr="00F25902">
              <w:rPr>
                <w:rFonts w:ascii="Times New Roman" w:hAnsi="Times New Roman"/>
                <w:b/>
                <w:sz w:val="20"/>
                <w:szCs w:val="20"/>
                <w:highlight w:val="yellow"/>
              </w:rPr>
              <w:t>"</w:t>
            </w:r>
            <w:r w:rsidR="00B41019">
              <w:rPr>
                <w:rFonts w:ascii="Times New Roman" w:hAnsi="Times New Roman"/>
                <w:b/>
                <w:sz w:val="25"/>
                <w:szCs w:val="25"/>
                <w:lang w:val="en-US"/>
              </w:rPr>
              <w:t>&lt;&gt;</w:t>
            </w:r>
            <w:r w:rsidRPr="00F25902">
              <w:rPr>
                <w:rFonts w:ascii="Times New Roman" w:hAnsi="Times New Roman"/>
                <w:b/>
                <w:sz w:val="20"/>
                <w:szCs w:val="20"/>
                <w:highlight w:val="yellow"/>
              </w:rPr>
              <w:t xml:space="preserve">" </w:t>
            </w:r>
            <w:r w:rsidR="00B41019">
              <w:rPr>
                <w:rFonts w:ascii="Times New Roman" w:hAnsi="Times New Roman"/>
                <w:b/>
                <w:sz w:val="25"/>
                <w:szCs w:val="25"/>
                <w:lang w:val="en-US"/>
              </w:rPr>
              <w:t>&lt;&gt;</w:t>
            </w:r>
            <w:r w:rsidRPr="00F25902">
              <w:rPr>
                <w:rFonts w:ascii="Times New Roman" w:hAnsi="Times New Roman"/>
                <w:b/>
                <w:sz w:val="20"/>
                <w:szCs w:val="20"/>
                <w:highlight w:val="yellow"/>
              </w:rPr>
              <w:t xml:space="preserve"> </w:t>
            </w:r>
            <w:r w:rsidR="00B41019">
              <w:rPr>
                <w:rFonts w:ascii="Times New Roman" w:hAnsi="Times New Roman"/>
                <w:b/>
                <w:sz w:val="25"/>
                <w:szCs w:val="25"/>
                <w:lang w:val="en-US"/>
              </w:rPr>
              <w:t>&lt;&gt;</w:t>
            </w:r>
            <w:r w:rsidRPr="00F25902">
              <w:rPr>
                <w:rFonts w:ascii="Times New Roman" w:hAnsi="Times New Roman"/>
                <w:b/>
                <w:sz w:val="20"/>
                <w:szCs w:val="20"/>
                <w:highlight w:val="yellow"/>
              </w:rPr>
              <w:t xml:space="preserve"> г</w:t>
            </w:r>
            <w:r w:rsidRPr="00F25902">
              <w:rPr>
                <w:rFonts w:ascii="Times New Roman" w:hAnsi="Times New Roman"/>
                <w:b/>
                <w:sz w:val="20"/>
                <w:szCs w:val="20"/>
              </w:rPr>
              <w:t>.</w:t>
            </w:r>
          </w:p>
        </w:tc>
      </w:tr>
      <w:tr w:rsidR="00F25902" w:rsidRPr="00F25902" w:rsidTr="00B41019">
        <w:trPr>
          <w:cantSplit/>
          <w:trHeight w:val="369"/>
        </w:trPr>
        <w:tc>
          <w:tcPr>
            <w:tcW w:w="242" w:type="dxa"/>
            <w:vAlign w:val="bottom"/>
          </w:tcPr>
          <w:p w:rsidR="00F25902" w:rsidRPr="00F25902" w:rsidRDefault="00F25902" w:rsidP="00F25902"/>
        </w:tc>
        <w:tc>
          <w:tcPr>
            <w:tcW w:w="227"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c>
          <w:tcPr>
            <w:tcW w:w="226"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B41019" w:rsidP="00F25902">
            <w:pPr>
              <w:jc w:val="both"/>
            </w:pPr>
            <w:r>
              <w:rPr>
                <w:rFonts w:ascii="Times New Roman" w:hAnsi="Times New Roman"/>
                <w:b/>
                <w:sz w:val="25"/>
                <w:szCs w:val="25"/>
                <w:lang w:val="en-US"/>
              </w:rPr>
              <w:t>&lt;&gt;</w:t>
            </w:r>
            <w:r w:rsidR="00F25902" w:rsidRPr="00F25902">
              <w:rPr>
                <w:rFonts w:ascii="Times New Roman" w:hAnsi="Times New Roman"/>
                <w:sz w:val="20"/>
                <w:szCs w:val="20"/>
              </w:rPr>
              <w:t xml:space="preserve">, в лице </w:t>
            </w:r>
            <w:r>
              <w:rPr>
                <w:rFonts w:ascii="Times New Roman" w:hAnsi="Times New Roman"/>
                <w:b/>
                <w:sz w:val="25"/>
                <w:szCs w:val="25"/>
                <w:lang w:val="en-US"/>
              </w:rPr>
              <w:t>&lt;&gt;</w:t>
            </w:r>
            <w:r w:rsidR="00F25902" w:rsidRPr="00F25902">
              <w:rPr>
                <w:rFonts w:ascii="Times New Roman" w:hAnsi="Times New Roman"/>
                <w:sz w:val="20"/>
                <w:szCs w:val="20"/>
              </w:rPr>
              <w:t xml:space="preserve">, действующего на основании </w:t>
            </w:r>
            <w:r>
              <w:rPr>
                <w:rFonts w:ascii="Times New Roman" w:hAnsi="Times New Roman"/>
                <w:b/>
                <w:sz w:val="25"/>
                <w:szCs w:val="25"/>
                <w:lang w:val="en-US"/>
              </w:rPr>
              <w:t>&lt;&gt;</w:t>
            </w:r>
            <w:r w:rsidR="00F25902" w:rsidRPr="00F25902">
              <w:rPr>
                <w:rFonts w:ascii="Times New Roman" w:hAnsi="Times New Roman"/>
                <w:sz w:val="20"/>
                <w:szCs w:val="20"/>
              </w:rPr>
              <w:t xml:space="preserve">, именуемое в дальнейшем Продавец, с одной стороны и </w:t>
            </w:r>
            <w:r>
              <w:rPr>
                <w:rFonts w:ascii="Times New Roman" w:hAnsi="Times New Roman"/>
                <w:b/>
                <w:sz w:val="25"/>
                <w:szCs w:val="25"/>
                <w:lang w:val="en-US"/>
              </w:rPr>
              <w:t>&lt;&gt;</w:t>
            </w:r>
            <w:r w:rsidR="00F25902" w:rsidRPr="00F25902">
              <w:rPr>
                <w:rFonts w:ascii="Times New Roman" w:hAnsi="Times New Roman"/>
                <w:sz w:val="20"/>
                <w:szCs w:val="20"/>
                <w:highlight w:val="yellow"/>
              </w:rPr>
              <w:t xml:space="preserve">, в лице </w:t>
            </w:r>
            <w:r>
              <w:rPr>
                <w:rFonts w:ascii="Times New Roman" w:hAnsi="Times New Roman"/>
                <w:b/>
                <w:sz w:val="25"/>
                <w:szCs w:val="25"/>
                <w:lang w:val="en-US"/>
              </w:rPr>
              <w:t>&lt;&gt;</w:t>
            </w:r>
            <w:r w:rsidR="00F25902" w:rsidRPr="00F25902">
              <w:rPr>
                <w:rFonts w:ascii="Times New Roman" w:hAnsi="Times New Roman"/>
                <w:sz w:val="20"/>
                <w:szCs w:val="20"/>
                <w:highlight w:val="yellow"/>
              </w:rPr>
              <w:t xml:space="preserve">, действующего на основании </w:t>
            </w:r>
            <w:r>
              <w:rPr>
                <w:rFonts w:ascii="Times New Roman" w:hAnsi="Times New Roman"/>
                <w:b/>
                <w:sz w:val="25"/>
                <w:szCs w:val="25"/>
                <w:lang w:val="en-US"/>
              </w:rPr>
              <w:t>&lt;&gt;</w:t>
            </w:r>
            <w:r w:rsidR="00F25902" w:rsidRPr="00F25902">
              <w:rPr>
                <w:rFonts w:ascii="Times New Roman" w:hAnsi="Times New Roman"/>
                <w:sz w:val="20"/>
                <w:szCs w:val="20"/>
              </w:rPr>
              <w:t>, именуемое в дальнейшем Покупатель, с другой стороны, заключили настоящий Договор о нижеследующем:</w:t>
            </w:r>
          </w:p>
        </w:tc>
      </w:tr>
      <w:tr w:rsidR="00F25902" w:rsidRPr="00F25902" w:rsidTr="00B41019">
        <w:trPr>
          <w:cantSplit/>
          <w:trHeight w:val="369"/>
        </w:trPr>
        <w:tc>
          <w:tcPr>
            <w:tcW w:w="242" w:type="dxa"/>
            <w:vAlign w:val="bottom"/>
          </w:tcPr>
          <w:p w:rsidR="00F25902" w:rsidRPr="00F25902" w:rsidRDefault="00F25902" w:rsidP="00F25902"/>
        </w:tc>
        <w:tc>
          <w:tcPr>
            <w:tcW w:w="227"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c>
          <w:tcPr>
            <w:tcW w:w="226"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center"/>
            </w:pPr>
            <w:r w:rsidRPr="00F25902">
              <w:rPr>
                <w:rFonts w:ascii="Times New Roman" w:hAnsi="Times New Roman"/>
                <w:b/>
                <w:sz w:val="20"/>
                <w:szCs w:val="20"/>
              </w:rPr>
              <w:t>1. ПРЕДМЕТ ДОГОВОРА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1.1. Продавец обязуется передать в собственность Покупателя металлопродукцию, а покупатель – принять и оплатить металлопродукцию (далее именуемую Товар).</w:t>
            </w:r>
          </w:p>
          <w:p w:rsidR="00F25902" w:rsidRPr="00F25902" w:rsidRDefault="00F25902" w:rsidP="00F25902">
            <w:pPr>
              <w:jc w:val="both"/>
            </w:pPr>
            <w:r w:rsidRPr="00F25902">
              <w:rPr>
                <w:rFonts w:ascii="Times New Roman" w:hAnsi="Times New Roman"/>
                <w:sz w:val="20"/>
                <w:szCs w:val="20"/>
              </w:rPr>
              <w:t>1.2. Конкретное наименование, ассортимент, количество, сроки и условия поставки, цена за тонну и общая сумма за Товар указывается в прилагаемых к настоящему договору Спецификациях и (или) Счетах, которые являются неотъемлемой частью договора.</w:t>
            </w:r>
          </w:p>
          <w:p w:rsidR="00F25902" w:rsidRPr="00F25902" w:rsidRDefault="00F25902" w:rsidP="00F25902">
            <w:pPr>
              <w:jc w:val="both"/>
            </w:pPr>
            <w:r w:rsidRPr="00F25902">
              <w:rPr>
                <w:rFonts w:ascii="Times New Roman" w:hAnsi="Times New Roman"/>
                <w:sz w:val="20"/>
                <w:szCs w:val="20"/>
              </w:rPr>
              <w:t>1.3. При поставке Товара на условиях предоплаты все существенные условия Договора могут быть указаны в счете-оферте Продавца. В этом случае факт оплаты Покупателем счета будет свидетельствовать о согласовании Сторонами всех условий договора без подписания Спецификации.</w:t>
            </w:r>
          </w:p>
        </w:tc>
      </w:tr>
      <w:tr w:rsidR="00F25902" w:rsidRPr="00F25902" w:rsidTr="00B41019">
        <w:trPr>
          <w:cantSplit/>
          <w:trHeight w:val="369"/>
        </w:trPr>
        <w:tc>
          <w:tcPr>
            <w:tcW w:w="242" w:type="dxa"/>
            <w:vAlign w:val="bottom"/>
          </w:tcPr>
          <w:p w:rsidR="00F25902" w:rsidRPr="00F25902" w:rsidRDefault="00F25902" w:rsidP="00F25902"/>
        </w:tc>
        <w:tc>
          <w:tcPr>
            <w:tcW w:w="227"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c>
          <w:tcPr>
            <w:tcW w:w="226"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center"/>
            </w:pPr>
            <w:r w:rsidRPr="00F25902">
              <w:rPr>
                <w:rFonts w:ascii="Times New Roman" w:hAnsi="Times New Roman"/>
                <w:b/>
                <w:sz w:val="20"/>
                <w:szCs w:val="20"/>
              </w:rPr>
              <w:t>2. УСЛОВИЯ ПОСТАВКИ ТОВАРА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2.1. Поставка Товара, если иное не согласовано сторонами дополнительно осуществляется на условиях самовывоза. Погрузка осуществляется в бортовые открытые автомашины. Отгрузка Товара осуществляется партиями. Объем одной партии – количество товара, отгруженное в одно транспортное средство. По согласованию сторон поставка может осуществляться автотранспортом Продавца или ж/д транспортом по указанным Покупателем реквизитам. Отгрузка производится при наличии оригинала доверенности и документа удостоверяющего личность.</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2.2. При отгрузке Товара со складов Продавца отгрузка Продавцом и приемка Покупателем всех видов металлопродукции осуществляется по физическому весу в метрических тоннах, определяемому в соответствии с данными электронных весов, за исключением электросварных, водогазопроводных труб, профильных труб с пометкой ТМ, листов г/к Ст3 толщиной 14-30мм и листов г/к 09Г2С толщиной 14-25мм, отгрузка и приемка которых осуществляется по теоретическому весу. Отгрузка и приемка профнастила осуществляется по теоретическому весу согласно ГОСТ 24045. Отгрузка и приемка сетки осуществляется в соответствии с площадью изделия в квадратных метрах. При отгрузке Товара напрямую с завода-изготовителя приемка Товара осуществляется в соответствии с сертификатом качества завода-изготовителя – Товар, отгруженный заводом-изготовителем по теоретической массе, принимается по теоретической массе.</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2.3. Продавец обязан осуществить поставку очередной партии Товара в адрес Грузополучателя в срок, согласованный сторонами в Спецификации. Продавец имеет право на досрочную поставку.</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2.4. Срок поставки Товара, предусмотренный п.2.3. настоящего договора, может быть продлен по решению Продавца в случае отсутствия поступления в установленный срок телеграммы от ж/д станции Грузополучателя о готовности принять груз или несвоевременного сообщения Покупателем отгрузочных реквизитов Грузополучателей. Отгрузочные реквизиты должны быть сообщены Продавцу в письменной форме за подписью уполномоченного лица Покупателя.</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 xml:space="preserve">2.5. Моментом исполнения Продавцом обязательств по поставке Товара и моментом перехода права собственности к Покупателю считаются: - при поставке ж/д транспортом – с момента передачи продукции первому перевозчику, согласно даты штемпеля станции отправления в ж/д накладной; - при доставке автотранспортом, предоставленным Продавцом, - дата погрузки Товара в транспортное средство на складе Продавца (грузоотправителя), указанная в транспортной накладной; - при самовывозе – с момента передачи Товара на складе Продавца и подписания УПД.                                    </w:t>
            </w:r>
          </w:p>
        </w:tc>
      </w:tr>
      <w:tr w:rsidR="00F25902" w:rsidRPr="00F25902" w:rsidTr="00B41019">
        <w:trPr>
          <w:cantSplit/>
          <w:trHeight w:val="369"/>
        </w:trPr>
        <w:tc>
          <w:tcPr>
            <w:tcW w:w="242" w:type="dxa"/>
            <w:vAlign w:val="bottom"/>
          </w:tcPr>
          <w:p w:rsidR="00F25902" w:rsidRPr="00F25902" w:rsidRDefault="00F25902" w:rsidP="00F25902"/>
        </w:tc>
        <w:tc>
          <w:tcPr>
            <w:tcW w:w="227"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c>
          <w:tcPr>
            <w:tcW w:w="226"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center"/>
            </w:pPr>
            <w:r w:rsidRPr="00F25902">
              <w:rPr>
                <w:rFonts w:ascii="Times New Roman" w:hAnsi="Times New Roman"/>
                <w:b/>
                <w:sz w:val="20"/>
                <w:szCs w:val="20"/>
              </w:rPr>
              <w:t>3. КАЧЕСТВО ТОВАРА И ПОРЯДОК ПРИЕМКИ</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3.1. Качество поставляемого Товара должно соответствовать ГОСТу или ТУ и подтверждаться сертификатом качества товара.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3.2. В соответствии с настоящим Договором Товар принимается Покупателем:</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 xml:space="preserve">  - по качеству: в соответствии с сертификатом качества завода-изготовителя;</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 xml:space="preserve">  - по количеству: согласно товаросопроводительными документами Продавца.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В условиях самовывоза (выборки продукции) приемка Товара по количеству, а в случае поставки Товара в упаковке по тарным местам, осуществляется на складе Продавца непосредственно в момент приемки. После приемки Товара претензии по количеству не принимаются.</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3.3. В условиях самовывоза (выборки Товара) приемка Товара по качеству производится путем визуального осмотра. После приемки Товара претензии по явным видимым дефектам Товара не принимаются.</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3.4. Приемка Товара Покупателем (Грузополучателем)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 апреля 1966г. N П-7) (с изменениями, внесенными постановлениями Госарбитража СССР от 29 декабря 1973 г. N 81и от 14 ноября 1974 г. N 98) (с изменениями от 23 июля 1975 г.) и Инструкцией о порядке приемки продукции производственно-технического назначения и товара народного потребления по количеству (утверждена постановлением Госарбитража СССР от 15 июня 1965 г. N П-6) (с изменениями от 29 декабря 1973 г., 14 ноября 1974 г., 23 июля 1975 г.). При обнаружении недостачи или несоответствия качества Товара условиям настоящего Договора вызов представителя Продавца обязателен.</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3.5. Претензии относительно количества, качества или ассортимента поставленного Товара Покупатель обязан предъявить Продавцу по скрытым недостаткам - в течение 30 дней (тридцати) календарных дней со дня получения Товара, но не позднее – 3 (трех) месяцев с даты поставки Товара. Указанные сроки являются пресекательными, по окончании которых претензии к рассмотрению не принимаются.</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3.6. претензии Покупателя по количеству и качеству продукции рассматриваются Продавцом в течение – 30 (тридцати) календарных дней со дня получения и Покупателю дается письменный ответ.</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3.7. гарантийные обязательства Продавца определяются технической документацией на продукцию. В случае отсутствия в технической документации гарантийных сроков на продукцию (сроков годности, сроков эксплуатации и т.д.) Продавец не берет на себя дополнительные гарантийные обязательства. Правила ч.2 ст.477 ГК РФ на продукцию не распространяется.</w:t>
            </w:r>
          </w:p>
        </w:tc>
      </w:tr>
      <w:tr w:rsidR="00F25902" w:rsidRPr="00F25902" w:rsidTr="00B41019">
        <w:trPr>
          <w:cantSplit/>
          <w:trHeight w:val="369"/>
        </w:trPr>
        <w:tc>
          <w:tcPr>
            <w:tcW w:w="242" w:type="dxa"/>
            <w:vAlign w:val="bottom"/>
          </w:tcPr>
          <w:p w:rsidR="00F25902" w:rsidRPr="00F25902" w:rsidRDefault="00F25902" w:rsidP="00F25902"/>
        </w:tc>
        <w:tc>
          <w:tcPr>
            <w:tcW w:w="227"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c>
          <w:tcPr>
            <w:tcW w:w="226"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center"/>
            </w:pPr>
            <w:r w:rsidRPr="00F25902">
              <w:rPr>
                <w:rFonts w:ascii="Times New Roman" w:hAnsi="Times New Roman"/>
                <w:b/>
                <w:sz w:val="20"/>
                <w:szCs w:val="20"/>
              </w:rPr>
              <w:t>4. РАСЧЕТ СТОРОН</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4.1. Оплата каждой партии товара производится в рублях. Покупатель оплачивает 100% от стоимости каждой партии товара на основании выставленного Продавцом счета. Если Покупатель не произвел оплату продукции в срок, предусмотренный настоящим договором либо установленный в соответствующей спецификации, то обязанность Покупателя по оплате продукции возникает со следующего календарного дня от даты выставления счета на продукцию.</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4.2. Продавец обязуется выставить счет на оплату 100% от стоимости партии товара в течение 2 (двух) дней с момента подписания сторонами Приложения к настоящему Договору, определяющего количество и ассортимент товара в этой партии. Счет действителен в течение одного банковского дня, если иное не указано в спецификации.</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4.3. Оплата Товара производится Покупателем платежным поручением путем перечисления денежных средств на расчетный счет Продавца либо внесением денежных средств в кассу Продавца и считается произведенной с момента зачисления денежных средств в оплату этой партии от Покупателя на расчетный счет, указанный Продавцом.</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4.4. При оплате Счетов ссылка на номер настоящего Договора обязательна. В назначении платежа должно быть указано: Оплата за Товар по счету №_____ в рамках договора.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4.5. В том случае, если от Покупателя поступают денежные средства в оплату без указания конкретной партии товара, за которую осуществлен платеж, то суммы по данному платежу засчитываются Продавцом в счет погашения имеющейся задолженности Покупателя перед Продавцом вне зависимости от назначения платежа в порядке календарной очередности.</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4.6. По требованию любой из сторон проводится сверка взаиморасчетов с подписанием акта сверки.</w:t>
            </w:r>
          </w:p>
        </w:tc>
      </w:tr>
      <w:tr w:rsidR="00F25902" w:rsidRPr="00F25902" w:rsidTr="00B41019">
        <w:trPr>
          <w:cantSplit/>
          <w:trHeight w:val="369"/>
        </w:trPr>
        <w:tc>
          <w:tcPr>
            <w:tcW w:w="242" w:type="dxa"/>
            <w:vAlign w:val="bottom"/>
          </w:tcPr>
          <w:p w:rsidR="00F25902" w:rsidRPr="00F25902" w:rsidRDefault="00F25902" w:rsidP="00F25902"/>
        </w:tc>
        <w:tc>
          <w:tcPr>
            <w:tcW w:w="227"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c>
          <w:tcPr>
            <w:tcW w:w="226"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center"/>
            </w:pPr>
            <w:r w:rsidRPr="00F25902">
              <w:rPr>
                <w:rFonts w:ascii="Times New Roman" w:hAnsi="Times New Roman"/>
                <w:b/>
                <w:sz w:val="20"/>
                <w:szCs w:val="20"/>
              </w:rPr>
              <w:t>5. ОТВЕТСТВЕННОСТЬ СТОРОН</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5.1. При неисполнении Продавцом сроков по отгрузке Товара, за исключением случаев, прямо предусмотренных в договоре, последний выплачивает Покупателю штрафную неустойку (пени) в размере 0,1 % от стоимости не поставленного (не отгруженного) в срок Товара за каждый день просрочки.</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5.2. В случае неисполнения Покупателем сроков оплаты за Товар указанных п.4.1. и 4.2. настоящего Договора, Покупатель выплачивает Продавцу штрафную неустойку (пени) в размере 0.1% от суммы просроченного платежа за каждый день просрочки.</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5.3. В случае неисполнения Покупателем сроков оплаты за Товар указанных п. 4.1 и 4.2. настоящего договора Продавец имеет право изменить в одностороннем порядке цену за Товар.</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5.4. При просрочке Покупателем оплаты за Товар указанных п. 4.1 и 4.2. настоящего договора Продавец имеет право приостановить поставку Товара и возобновить поставку Товара после полного погашения задолженности Покупателя перед Продавцом, что не является нарушением (недопоставкой) со стороны Продавца.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5.5. В случае если Покупатель в срок, согласованный сторонами, не осуществит выборку заказанного Товара, он оплачивает расходы Продавца по хранению Товара в размере 50 рублей за тонну Товара за каждый день хранения.</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5.6. За просрочку вывоза (выборки) Товара со склада Продавца Покупатель уплачивает пеню из расчета – 0,1 (ноль целых одна десятая % от стоимости не вывезенного в срок Товара за каждый день просрочки. Указанная пеня уплачивается до момента фактического вывоза Товара. При неуплате или ненадлежащей уплате указанной пени Продавец вправе не отгружать просроченный вывозом Товара.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В случае просрочки Покупателем вывоза (выборки) Товара более – 5 (пяти) календарных дней Продавец не гарантирует наличия указанного Товара на складе и имеет право отказаться от поставки данной партии покупателю с последующим возвратом денежных средств по письменному требованию покупателя, но с удержанием сумм штрафных санкций согласно пунктам: 5.2., 5.5. и 5.6. настоящего Договора либо перенести сроки поставки в одностороннем порядке, что не освобождает Покупателя от уплаты штрафных санкций по письменному требования Продавца.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5.7. В случае если Покупатель не осуществит разгрузку автотранспорта Продавца в течение 2-х часов с момента прибытия автотранспорта на объект Покупателя, Покупатель выплачивает пени в размере 900 руб. за каждый час задержки.</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5.8. При доставке Товара одновременно более чем из десяти пунктов наименований Покупателем производится доплата за погрузочные работы в размере 300 руб. за каждый пункт наименования Товара, начиная с одиннадцатого пункта.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5.9. Покупатель по требованию продавца полностью возмещает все подтвержденные убытки, понесенные продавцом из-за неправильного и (или) несвоевременного сообщения отгрузочных реквизитов грузополучателей продукции.</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5.10. В случае нарушения любой из Сторон условий настоящего Договора, за несоблюдение которых настоящим Договором предусмотрены штрафные санкции, любая из сторон вправе, но не обязана требовать с виновной Стороны выплаты штрафных санкций, предусмотренных вышеуказанными пунктами ответственности Сторон. Требования должны быть предъявлены в письменной форме.</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5.11. Предъявление требований об уплате штрафных санкций непосредственно в исковом заявлении является соблюдением письменной формы требования, предусмотренной ч. 1 настоящего пункта.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5.12. Стороны определили, что размер неустойки, установленный настоящим Договором в качестве мер ответственности, не является завышенным и определен исходя из взаимных интересов Сторон по обеспечению надлежащего исполнения обязательств.</w:t>
            </w:r>
          </w:p>
        </w:tc>
      </w:tr>
      <w:tr w:rsidR="00F25902" w:rsidRPr="00F25902" w:rsidTr="00B41019">
        <w:trPr>
          <w:cantSplit/>
          <w:trHeight w:val="369"/>
        </w:trPr>
        <w:tc>
          <w:tcPr>
            <w:tcW w:w="242" w:type="dxa"/>
            <w:vAlign w:val="bottom"/>
          </w:tcPr>
          <w:p w:rsidR="00F25902" w:rsidRPr="00F25902" w:rsidRDefault="00F25902" w:rsidP="00F25902"/>
        </w:tc>
        <w:tc>
          <w:tcPr>
            <w:tcW w:w="227"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c>
          <w:tcPr>
            <w:tcW w:w="226"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center"/>
            </w:pPr>
            <w:r w:rsidRPr="00F25902">
              <w:rPr>
                <w:rFonts w:ascii="Times New Roman" w:hAnsi="Times New Roman"/>
                <w:b/>
                <w:sz w:val="20"/>
                <w:szCs w:val="20"/>
              </w:rPr>
              <w:t>6. СРОК ДЕЙСТВИЯ ДОГОВОРА И ИНЫЕ УСЛОВИЯ</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 xml:space="preserve">6.1. Настоящий договор вступает в силу с даты его подписания и действует до </w:t>
            </w:r>
            <w:r w:rsidR="00B41019" w:rsidRPr="00B41019">
              <w:rPr>
                <w:rFonts w:ascii="Times New Roman" w:hAnsi="Times New Roman"/>
                <w:b/>
                <w:sz w:val="25"/>
                <w:szCs w:val="25"/>
                <w:highlight w:val="yellow"/>
                <w:lang w:val="en-US"/>
              </w:rPr>
              <w:t>&lt;</w:t>
            </w:r>
            <w:r w:rsidR="00B41019" w:rsidRPr="00B41019">
              <w:rPr>
                <w:rFonts w:ascii="Times New Roman" w:hAnsi="Times New Roman"/>
                <w:b/>
                <w:sz w:val="25"/>
                <w:szCs w:val="25"/>
                <w:highlight w:val="yellow"/>
                <w:lang w:val="en-US"/>
              </w:rPr>
              <w:t xml:space="preserve">   </w:t>
            </w:r>
            <w:r w:rsidR="00B41019" w:rsidRPr="00B41019">
              <w:rPr>
                <w:rFonts w:ascii="Times New Roman" w:hAnsi="Times New Roman"/>
                <w:b/>
                <w:sz w:val="25"/>
                <w:szCs w:val="25"/>
                <w:highlight w:val="yellow"/>
                <w:lang w:val="en-US"/>
              </w:rPr>
              <w:t>&gt;</w:t>
            </w:r>
            <w:r w:rsidRPr="00F25902">
              <w:rPr>
                <w:rFonts w:ascii="Times New Roman" w:hAnsi="Times New Roman"/>
                <w:sz w:val="20"/>
                <w:szCs w:val="20"/>
              </w:rPr>
              <w:t>. Если ни одна из Сторон за 15 (пятнадцать) дней до истечения срока действия, Договора не заявит другой Стороне намерения о прекращении его действия, Договор считается автоматически пролонгированным на срок до окончания каждого последующего календарного года на тех же условиях, до тех пор, пока Продавец или Покупатель письменно не уведомит другую сторону о прекращении срока действия договора. Пролонгация Договора может осуществляться неограниченное количество раз.</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6.2. При поставке Товара допускается отклонение ± 10% от количества Товара,  согласованного со сторонами.</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6.3. Окончательные расчеты за фактически поставленное количество Товара производиться в срок, указанный в п.4.1. и 4.2. настоящего договора. Если продукция была оплачена предварительно, то окончательные  расчеты за фактически поставленное количество Товара производиться не позднее 10 (десять) календарных дней с момента поставки.</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6.4. С момента подписания настоящего договора, лицо подписавшее договор дает согласие на обработку данных о Покупателе, в том числе персональных данных участников покупателя. Исполнительного органа Покупателя, а также лица, подписавшего договор. Данное согласие дается на все виды информационных и торговых баз Продавца. Персональные данные не подлежат публикации в открытых источниках и средствах массовой информации.</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6.5. Стороны обязуются соблюдать конфиденциальность в отношении условий настоящего Договора, касающегося его участников, цены и количества товара, а также общей суммы Договора и соглашений к нему. Защита конфиденциальной информации, которая получена или может быть получена при заключении и исполнении настоящего Договора, предоставляет собой принятие сторонами мер, предусмотренных законодательством, внутренними актами Сторон и настоящим Договором,  направленных на предотвращение и пресечение не правомерного доступа, модифицирования, копирования, предоставления, распространения такой информации.</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6.6. Стороны договорились, что переданные факсимильной связью спецификации и дополнительные соглашения к настоящему договору признаются юридически значимыми вплоть до обмена оригиналами таких документов. Срок предоставления оригинала документов устанавливается сторонами в – 15 (пятнадцать) календарных дней.</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6.7. Покупатель не вправе передавать свои права и обязанности настоящему Договору третьи лицам, за исключением своих правопреемников, без письменного согласия Продавца.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6.8. Все споры и разногласия сторон в рамках и в связи с исполнением обязательств по настоящему договору разрешаются с соблюдением обязательного досудебного претензионного порядка. В случае невозможности разрешить спор путем переговоров обязательным до обращения в суд является предъявление претензии (письменного предложения о добровольном урегулировании спора). Претензия направляется по юридическому и почтовому/фактическому адресу (если такой имеется) стороны по настоящему договору.</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Срок рассмотрения претензии и направления ответа 7 (семь) календарных дней, с даты получения претензии. Если претензия оставлена без рассмотрения, а также в случае отказа в её удовлетворении (полного или частичного), сторона, направившая претензию, в течение 7 (семи) календарных дней со дня получения претензии другой стороной вправе передать спор на рассмотрение в арбитражный суд города Москва.</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6.9. Все вопросы, не урегулированные настоящим договором, а также споры сторон, возникающие в ходе его исполнения, подлежат разрешению в соответствии с законодательством Российской Федерации. Арбитражные споры подлежат разрешению в Арбитражном суде г. Москвы.</w:t>
            </w:r>
          </w:p>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both"/>
            </w:pPr>
            <w:r w:rsidRPr="00F25902">
              <w:rPr>
                <w:rFonts w:ascii="Times New Roman" w:hAnsi="Times New Roman"/>
                <w:sz w:val="20"/>
                <w:szCs w:val="20"/>
              </w:rPr>
              <w:t>6.10. Договор состоит из – 4 (четырех) страниц и составлен в 2 (двух) экземплярах, имеющих одинаковую юридическую силу, по одному для каждой из сторон.</w:t>
            </w:r>
          </w:p>
        </w:tc>
      </w:tr>
      <w:tr w:rsidR="00F25902" w:rsidRPr="00F25902" w:rsidTr="00B41019">
        <w:trPr>
          <w:cantSplit/>
          <w:trHeight w:val="369"/>
        </w:trPr>
        <w:tc>
          <w:tcPr>
            <w:tcW w:w="242" w:type="dxa"/>
            <w:vAlign w:val="bottom"/>
          </w:tcPr>
          <w:p w:rsidR="00F25902" w:rsidRPr="00F25902" w:rsidRDefault="00F25902" w:rsidP="00F25902"/>
        </w:tc>
        <w:tc>
          <w:tcPr>
            <w:tcW w:w="227"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c>
          <w:tcPr>
            <w:tcW w:w="226"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r>
      <w:tr w:rsidR="00F25902" w:rsidRPr="00F25902" w:rsidTr="00B41019">
        <w:trPr>
          <w:cantSplit/>
        </w:trPr>
        <w:tc>
          <w:tcPr>
            <w:tcW w:w="242" w:type="dxa"/>
            <w:vAlign w:val="bottom"/>
          </w:tcPr>
          <w:p w:rsidR="00F25902" w:rsidRPr="00F25902" w:rsidRDefault="00F25902" w:rsidP="00F25902"/>
        </w:tc>
        <w:tc>
          <w:tcPr>
            <w:tcW w:w="10531" w:type="dxa"/>
            <w:gridSpan w:val="6"/>
            <w:vAlign w:val="bottom"/>
          </w:tcPr>
          <w:p w:rsidR="00F25902" w:rsidRPr="00F25902" w:rsidRDefault="00F25902" w:rsidP="00F25902">
            <w:pPr>
              <w:jc w:val="center"/>
            </w:pPr>
            <w:r w:rsidRPr="00F25902">
              <w:rPr>
                <w:rFonts w:ascii="Times New Roman" w:hAnsi="Times New Roman"/>
                <w:b/>
                <w:sz w:val="20"/>
                <w:szCs w:val="20"/>
              </w:rPr>
              <w:t>7. АДРЕС И РЕКВИЗИТЫ СТОРОН</w:t>
            </w:r>
          </w:p>
        </w:tc>
      </w:tr>
      <w:tr w:rsidR="00F25902" w:rsidRPr="00F25902" w:rsidTr="00B41019">
        <w:trPr>
          <w:cantSplit/>
        </w:trPr>
        <w:tc>
          <w:tcPr>
            <w:tcW w:w="242" w:type="dxa"/>
            <w:vAlign w:val="bottom"/>
          </w:tcPr>
          <w:p w:rsidR="00F25902" w:rsidRPr="00F25902" w:rsidRDefault="00F25902" w:rsidP="00F25902"/>
        </w:tc>
        <w:tc>
          <w:tcPr>
            <w:tcW w:w="227"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c>
          <w:tcPr>
            <w:tcW w:w="226" w:type="dxa"/>
            <w:vAlign w:val="bottom"/>
          </w:tcPr>
          <w:p w:rsidR="00F25902" w:rsidRPr="00F25902" w:rsidRDefault="00F25902" w:rsidP="00F25902"/>
        </w:tc>
        <w:tc>
          <w:tcPr>
            <w:tcW w:w="4798" w:type="dxa"/>
            <w:vAlign w:val="bottom"/>
          </w:tcPr>
          <w:p w:rsidR="00F25902" w:rsidRPr="00F25902" w:rsidRDefault="00F25902" w:rsidP="00F25902"/>
        </w:tc>
        <w:tc>
          <w:tcPr>
            <w:tcW w:w="241" w:type="dxa"/>
            <w:vAlign w:val="bottom"/>
          </w:tcPr>
          <w:p w:rsidR="00F25902" w:rsidRPr="00F25902" w:rsidRDefault="00F25902" w:rsidP="00F25902"/>
        </w:tc>
      </w:tr>
      <w:tr w:rsidR="00F25902" w:rsidRPr="00F25902" w:rsidTr="00B41019">
        <w:trPr>
          <w:cantSplit/>
          <w:trHeight w:val="451"/>
        </w:trPr>
        <w:tc>
          <w:tcPr>
            <w:tcW w:w="242" w:type="dxa"/>
            <w:vAlign w:val="bottom"/>
          </w:tcPr>
          <w:p w:rsidR="00F25902" w:rsidRPr="00F25902" w:rsidRDefault="00F25902" w:rsidP="00F25902"/>
        </w:tc>
        <w:tc>
          <w:tcPr>
            <w:tcW w:w="227" w:type="dxa"/>
            <w:tcBorders>
              <w:top w:val="single" w:sz="4" w:space="0" w:color="auto"/>
              <w:left w:val="single" w:sz="4" w:space="0" w:color="auto"/>
            </w:tcBorders>
            <w:vAlign w:val="bottom"/>
          </w:tcPr>
          <w:p w:rsidR="00F25902" w:rsidRPr="00F25902" w:rsidRDefault="00F25902" w:rsidP="00F25902"/>
        </w:tc>
        <w:tc>
          <w:tcPr>
            <w:tcW w:w="4798" w:type="dxa"/>
            <w:tcBorders>
              <w:top w:val="single" w:sz="4" w:space="0" w:color="auto"/>
            </w:tcBorders>
            <w:vAlign w:val="center"/>
          </w:tcPr>
          <w:p w:rsidR="00F25902" w:rsidRPr="00F25902" w:rsidRDefault="00F25902" w:rsidP="00F25902">
            <w:pPr>
              <w:jc w:val="center"/>
            </w:pPr>
            <w:r w:rsidRPr="00F25902">
              <w:rPr>
                <w:rFonts w:ascii="Times New Roman" w:hAnsi="Times New Roman"/>
                <w:b/>
                <w:sz w:val="20"/>
                <w:szCs w:val="20"/>
              </w:rPr>
              <w:t>Поставщик</w:t>
            </w:r>
          </w:p>
        </w:tc>
        <w:tc>
          <w:tcPr>
            <w:tcW w:w="241" w:type="dxa"/>
            <w:tcBorders>
              <w:top w:val="single" w:sz="4" w:space="0" w:color="auto"/>
            </w:tcBorders>
            <w:vAlign w:val="bottom"/>
          </w:tcPr>
          <w:p w:rsidR="00F25902" w:rsidRPr="00F25902" w:rsidRDefault="00F25902" w:rsidP="00F25902"/>
        </w:tc>
        <w:tc>
          <w:tcPr>
            <w:tcW w:w="226" w:type="dxa"/>
            <w:tcBorders>
              <w:top w:val="single" w:sz="4" w:space="0" w:color="auto"/>
              <w:left w:val="single" w:sz="4" w:space="0" w:color="auto"/>
            </w:tcBorders>
            <w:vAlign w:val="bottom"/>
          </w:tcPr>
          <w:p w:rsidR="00F25902" w:rsidRPr="00F25902" w:rsidRDefault="00F25902" w:rsidP="00F25902"/>
        </w:tc>
        <w:tc>
          <w:tcPr>
            <w:tcW w:w="4798" w:type="dxa"/>
            <w:tcBorders>
              <w:top w:val="single" w:sz="4" w:space="0" w:color="auto"/>
            </w:tcBorders>
            <w:vAlign w:val="center"/>
          </w:tcPr>
          <w:p w:rsidR="00F25902" w:rsidRPr="00F25902" w:rsidRDefault="00F25902" w:rsidP="00F25902">
            <w:pPr>
              <w:jc w:val="center"/>
            </w:pPr>
            <w:r w:rsidRPr="00F25902">
              <w:rPr>
                <w:rFonts w:ascii="Times New Roman" w:hAnsi="Times New Roman"/>
                <w:b/>
                <w:sz w:val="20"/>
                <w:szCs w:val="20"/>
              </w:rPr>
              <w:t>Покупатель</w:t>
            </w:r>
          </w:p>
        </w:tc>
        <w:tc>
          <w:tcPr>
            <w:tcW w:w="241" w:type="dxa"/>
            <w:tcBorders>
              <w:top w:val="single" w:sz="4" w:space="0" w:color="auto"/>
              <w:right w:val="single" w:sz="4" w:space="0" w:color="auto"/>
            </w:tcBorders>
            <w:vAlign w:val="bottom"/>
          </w:tcPr>
          <w:p w:rsidR="00F25902" w:rsidRPr="00F25902" w:rsidRDefault="00F25902" w:rsidP="00F25902"/>
        </w:tc>
      </w:tr>
      <w:tr w:rsidR="00B41019" w:rsidRPr="00F25902" w:rsidTr="00B41019">
        <w:trPr>
          <w:cantSplit/>
          <w:trHeight w:val="369"/>
        </w:trPr>
        <w:tc>
          <w:tcPr>
            <w:tcW w:w="242" w:type="dxa"/>
            <w:vAlign w:val="center"/>
          </w:tcPr>
          <w:p w:rsidR="00B41019" w:rsidRPr="00F25902" w:rsidRDefault="00B41019" w:rsidP="00B41019"/>
        </w:tc>
        <w:tc>
          <w:tcPr>
            <w:tcW w:w="227" w:type="dxa"/>
            <w:tcBorders>
              <w:top w:val="single" w:sz="4" w:space="0" w:color="auto"/>
              <w:left w:val="single" w:sz="4" w:space="0" w:color="auto"/>
            </w:tcBorders>
            <w:vAlign w:val="center"/>
          </w:tcPr>
          <w:p w:rsidR="00B41019" w:rsidRPr="00F25902" w:rsidRDefault="00B41019" w:rsidP="00B41019"/>
        </w:tc>
        <w:tc>
          <w:tcPr>
            <w:tcW w:w="4798" w:type="dxa"/>
            <w:tcBorders>
              <w:top w:val="single" w:sz="4" w:space="0" w:color="auto"/>
            </w:tcBorders>
            <w:vAlign w:val="center"/>
          </w:tcPr>
          <w:p w:rsidR="00B41019" w:rsidRPr="00B41019" w:rsidRDefault="00B41019" w:rsidP="00B41019">
            <w:pPr>
              <w:rPr>
                <w:lang w:val="en-US"/>
              </w:rPr>
            </w:pPr>
            <w:r>
              <w:rPr>
                <w:lang w:val="en-US"/>
              </w:rPr>
              <w:t>&lt;</w:t>
            </w:r>
            <w:r>
              <w:t>Как в счете</w:t>
            </w:r>
            <w:r>
              <w:rPr>
                <w:lang w:val="en-US"/>
              </w:rPr>
              <w:t>&gt;</w:t>
            </w:r>
          </w:p>
        </w:tc>
        <w:tc>
          <w:tcPr>
            <w:tcW w:w="241" w:type="dxa"/>
            <w:tcBorders>
              <w:top w:val="single" w:sz="4" w:space="0" w:color="auto"/>
            </w:tcBorders>
            <w:vAlign w:val="center"/>
          </w:tcPr>
          <w:p w:rsidR="00B41019" w:rsidRPr="00F25902" w:rsidRDefault="00B41019" w:rsidP="00B41019"/>
        </w:tc>
        <w:tc>
          <w:tcPr>
            <w:tcW w:w="226" w:type="dxa"/>
            <w:tcBorders>
              <w:top w:val="single" w:sz="4" w:space="0" w:color="auto"/>
              <w:left w:val="single" w:sz="4" w:space="0" w:color="auto"/>
            </w:tcBorders>
            <w:vAlign w:val="center"/>
          </w:tcPr>
          <w:p w:rsidR="00B41019" w:rsidRPr="00F25902" w:rsidRDefault="00B41019" w:rsidP="00B41019"/>
        </w:tc>
        <w:tc>
          <w:tcPr>
            <w:tcW w:w="4798" w:type="dxa"/>
            <w:tcBorders>
              <w:top w:val="single" w:sz="4" w:space="0" w:color="auto"/>
            </w:tcBorders>
            <w:vAlign w:val="center"/>
          </w:tcPr>
          <w:p w:rsidR="00B41019" w:rsidRPr="00B41019" w:rsidRDefault="00B41019" w:rsidP="00B41019">
            <w:pPr>
              <w:rPr>
                <w:lang w:val="en-US"/>
              </w:rPr>
            </w:pPr>
            <w:r>
              <w:rPr>
                <w:lang w:val="en-US"/>
              </w:rPr>
              <w:t>&lt;</w:t>
            </w:r>
            <w:r>
              <w:t>Как в счете</w:t>
            </w:r>
            <w:r>
              <w:rPr>
                <w:lang w:val="en-US"/>
              </w:rPr>
              <w:t>&gt;</w:t>
            </w:r>
          </w:p>
        </w:tc>
        <w:tc>
          <w:tcPr>
            <w:tcW w:w="241" w:type="dxa"/>
            <w:tcBorders>
              <w:top w:val="single" w:sz="4" w:space="0" w:color="auto"/>
              <w:right w:val="single" w:sz="4" w:space="0" w:color="auto"/>
            </w:tcBorders>
            <w:vAlign w:val="center"/>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pPr>
              <w:rPr>
                <w:lang w:val="en-US"/>
              </w:rPr>
            </w:pPr>
          </w:p>
        </w:tc>
        <w:tc>
          <w:tcPr>
            <w:tcW w:w="241" w:type="dxa"/>
          </w:tcPr>
          <w:p w:rsidR="00B41019" w:rsidRPr="00F25902" w:rsidRDefault="00B41019" w:rsidP="00B41019">
            <w:pPr>
              <w:rPr>
                <w:lang w:val="en-US"/>
              </w:rPr>
            </w:pPr>
          </w:p>
        </w:tc>
        <w:tc>
          <w:tcPr>
            <w:tcW w:w="226" w:type="dxa"/>
            <w:tcBorders>
              <w:left w:val="single" w:sz="4" w:space="0" w:color="auto"/>
            </w:tcBorders>
          </w:tcPr>
          <w:p w:rsidR="00B41019" w:rsidRPr="00F25902" w:rsidRDefault="00B41019" w:rsidP="00B41019">
            <w:pPr>
              <w:rPr>
                <w:lang w:val="en-US"/>
              </w:rPr>
            </w:pPr>
          </w:p>
        </w:tc>
        <w:tc>
          <w:tcPr>
            <w:tcW w:w="4798" w:type="dxa"/>
          </w:tcPr>
          <w:p w:rsidR="00B41019" w:rsidRPr="00F25902" w:rsidRDefault="00B41019" w:rsidP="00B41019">
            <w:pPr>
              <w:rPr>
                <w:highlight w:val="yellow"/>
                <w:lang w:val="en-US"/>
              </w:rPr>
            </w:pPr>
          </w:p>
        </w:tc>
        <w:tc>
          <w:tcPr>
            <w:tcW w:w="241" w:type="dxa"/>
            <w:tcBorders>
              <w:right w:val="single" w:sz="4" w:space="0" w:color="auto"/>
            </w:tcBorders>
            <w:vAlign w:val="bottom"/>
          </w:tcPr>
          <w:p w:rsidR="00B41019" w:rsidRPr="00F25902" w:rsidRDefault="00B41019" w:rsidP="00B41019">
            <w:pPr>
              <w:rPr>
                <w:lang w:val="en-US"/>
              </w:rPr>
            </w:pPr>
          </w:p>
        </w:tc>
      </w:tr>
      <w:tr w:rsidR="00B41019" w:rsidRPr="00F25902" w:rsidTr="00B41019">
        <w:trPr>
          <w:cantSplit/>
        </w:trPr>
        <w:tc>
          <w:tcPr>
            <w:tcW w:w="242" w:type="dxa"/>
            <w:vAlign w:val="bottom"/>
          </w:tcPr>
          <w:p w:rsidR="00B41019" w:rsidRPr="00F25902" w:rsidRDefault="00B41019" w:rsidP="00B41019">
            <w:pPr>
              <w:rPr>
                <w:lang w:val="en-US"/>
              </w:rPr>
            </w:pPr>
          </w:p>
        </w:tc>
        <w:tc>
          <w:tcPr>
            <w:tcW w:w="227" w:type="dxa"/>
            <w:tcBorders>
              <w:left w:val="single" w:sz="4" w:space="0" w:color="auto"/>
            </w:tcBorders>
            <w:vAlign w:val="bottom"/>
          </w:tcPr>
          <w:p w:rsidR="00B41019" w:rsidRPr="00F25902" w:rsidRDefault="00B41019" w:rsidP="00B41019">
            <w:pPr>
              <w:rPr>
                <w:lang w:val="en-US"/>
              </w:rPr>
            </w:pPr>
          </w:p>
        </w:tc>
        <w:tc>
          <w:tcPr>
            <w:tcW w:w="4798" w:type="dxa"/>
          </w:tcPr>
          <w:p w:rsidR="00B41019" w:rsidRPr="00F25902" w:rsidRDefault="00B41019" w:rsidP="00B41019">
            <w:pPr>
              <w:rPr>
                <w:lang w:val="en-US"/>
              </w:rPr>
            </w:pPr>
          </w:p>
        </w:tc>
        <w:tc>
          <w:tcPr>
            <w:tcW w:w="241" w:type="dxa"/>
          </w:tcPr>
          <w:p w:rsidR="00B41019" w:rsidRPr="00F25902" w:rsidRDefault="00B41019" w:rsidP="00B41019">
            <w:pPr>
              <w:rPr>
                <w:lang w:val="en-US"/>
              </w:rPr>
            </w:pPr>
          </w:p>
        </w:tc>
        <w:tc>
          <w:tcPr>
            <w:tcW w:w="226" w:type="dxa"/>
            <w:tcBorders>
              <w:left w:val="single" w:sz="4" w:space="0" w:color="auto"/>
            </w:tcBorders>
          </w:tcPr>
          <w:p w:rsidR="00B41019" w:rsidRPr="00F25902" w:rsidRDefault="00B41019" w:rsidP="00B41019">
            <w:pPr>
              <w:rPr>
                <w:lang w:val="en-US"/>
              </w:rPr>
            </w:pPr>
          </w:p>
        </w:tc>
        <w:tc>
          <w:tcPr>
            <w:tcW w:w="4798" w:type="dxa"/>
          </w:tcPr>
          <w:p w:rsidR="00B41019" w:rsidRPr="00F25902" w:rsidRDefault="00B41019" w:rsidP="00B41019">
            <w:pPr>
              <w:rPr>
                <w:highlight w:val="yellow"/>
                <w:lang w:val="en-US"/>
              </w:rPr>
            </w:pPr>
          </w:p>
        </w:tc>
        <w:tc>
          <w:tcPr>
            <w:tcW w:w="241" w:type="dxa"/>
            <w:tcBorders>
              <w:right w:val="single" w:sz="4" w:space="0" w:color="auto"/>
            </w:tcBorders>
            <w:vAlign w:val="bottom"/>
          </w:tcPr>
          <w:p w:rsidR="00B41019" w:rsidRPr="00F25902" w:rsidRDefault="00B41019" w:rsidP="00B41019">
            <w:pPr>
              <w:rPr>
                <w:lang w:val="en-US"/>
              </w:rPr>
            </w:pPr>
          </w:p>
        </w:tc>
      </w:tr>
      <w:tr w:rsidR="00B41019" w:rsidRPr="00F25902" w:rsidTr="00B41019">
        <w:trPr>
          <w:cantSplit/>
        </w:trPr>
        <w:tc>
          <w:tcPr>
            <w:tcW w:w="242" w:type="dxa"/>
            <w:vAlign w:val="bottom"/>
          </w:tcPr>
          <w:p w:rsidR="00B41019" w:rsidRPr="00F25902" w:rsidRDefault="00B41019" w:rsidP="00B41019">
            <w:pPr>
              <w:rPr>
                <w:lang w:val="en-US"/>
              </w:rPr>
            </w:pPr>
          </w:p>
        </w:tc>
        <w:tc>
          <w:tcPr>
            <w:tcW w:w="227" w:type="dxa"/>
            <w:tcBorders>
              <w:left w:val="single" w:sz="4" w:space="0" w:color="auto"/>
            </w:tcBorders>
            <w:vAlign w:val="bottom"/>
          </w:tcPr>
          <w:p w:rsidR="00B41019" w:rsidRPr="00F25902" w:rsidRDefault="00B41019" w:rsidP="00B41019">
            <w:pPr>
              <w:rPr>
                <w:lang w:val="en-US"/>
              </w:rPr>
            </w:pPr>
          </w:p>
        </w:tc>
        <w:tc>
          <w:tcPr>
            <w:tcW w:w="4798" w:type="dxa"/>
          </w:tcPr>
          <w:p w:rsidR="00B41019" w:rsidRPr="00F25902" w:rsidRDefault="00B41019" w:rsidP="00B41019">
            <w:pPr>
              <w:rPr>
                <w:lang w:val="en-US"/>
              </w:rPr>
            </w:pPr>
          </w:p>
        </w:tc>
        <w:tc>
          <w:tcPr>
            <w:tcW w:w="241" w:type="dxa"/>
          </w:tcPr>
          <w:p w:rsidR="00B41019" w:rsidRPr="00F25902" w:rsidRDefault="00B41019" w:rsidP="00B41019">
            <w:pPr>
              <w:rPr>
                <w:lang w:val="en-US"/>
              </w:rPr>
            </w:pPr>
          </w:p>
        </w:tc>
        <w:tc>
          <w:tcPr>
            <w:tcW w:w="226" w:type="dxa"/>
            <w:tcBorders>
              <w:left w:val="single" w:sz="4" w:space="0" w:color="auto"/>
            </w:tcBorders>
          </w:tcPr>
          <w:p w:rsidR="00B41019" w:rsidRPr="00F25902" w:rsidRDefault="00B41019" w:rsidP="00B41019">
            <w:pPr>
              <w:rPr>
                <w:lang w:val="en-US"/>
              </w:rPr>
            </w:pPr>
          </w:p>
        </w:tc>
        <w:tc>
          <w:tcPr>
            <w:tcW w:w="4798" w:type="dxa"/>
          </w:tcPr>
          <w:p w:rsidR="00B41019" w:rsidRPr="00F25902" w:rsidRDefault="00B41019" w:rsidP="00B41019">
            <w:pPr>
              <w:rPr>
                <w:highlight w:val="yellow"/>
                <w:lang w:val="en-US"/>
              </w:rPr>
            </w:pPr>
          </w:p>
        </w:tc>
        <w:tc>
          <w:tcPr>
            <w:tcW w:w="241" w:type="dxa"/>
            <w:tcBorders>
              <w:right w:val="single" w:sz="4" w:space="0" w:color="auto"/>
            </w:tcBorders>
            <w:vAlign w:val="bottom"/>
          </w:tcPr>
          <w:p w:rsidR="00B41019" w:rsidRPr="00F25902" w:rsidRDefault="00B41019" w:rsidP="00B41019">
            <w:pPr>
              <w:rPr>
                <w:lang w:val="en-US"/>
              </w:rPr>
            </w:pPr>
          </w:p>
        </w:tc>
      </w:tr>
      <w:tr w:rsidR="00B41019" w:rsidRPr="00F25902" w:rsidTr="00B41019">
        <w:trPr>
          <w:cantSplit/>
          <w:trHeight w:val="273"/>
        </w:trPr>
        <w:tc>
          <w:tcPr>
            <w:tcW w:w="242" w:type="dxa"/>
            <w:vAlign w:val="center"/>
          </w:tcPr>
          <w:p w:rsidR="00B41019" w:rsidRPr="00F25902" w:rsidRDefault="00B41019" w:rsidP="00B41019">
            <w:pPr>
              <w:rPr>
                <w:lang w:val="en-US"/>
              </w:rPr>
            </w:pPr>
          </w:p>
        </w:tc>
        <w:tc>
          <w:tcPr>
            <w:tcW w:w="227" w:type="dxa"/>
            <w:tcBorders>
              <w:top w:val="single" w:sz="4" w:space="0" w:color="auto"/>
              <w:left w:val="single" w:sz="4" w:space="0" w:color="auto"/>
            </w:tcBorders>
            <w:vAlign w:val="center"/>
          </w:tcPr>
          <w:p w:rsidR="00B41019" w:rsidRPr="00F25902" w:rsidRDefault="00B41019" w:rsidP="00B41019">
            <w:pPr>
              <w:rPr>
                <w:lang w:val="en-US"/>
              </w:rPr>
            </w:pPr>
          </w:p>
        </w:tc>
        <w:tc>
          <w:tcPr>
            <w:tcW w:w="4798" w:type="dxa"/>
            <w:tcBorders>
              <w:top w:val="single" w:sz="4" w:space="0" w:color="auto"/>
            </w:tcBorders>
            <w:vAlign w:val="center"/>
          </w:tcPr>
          <w:p w:rsidR="00B41019" w:rsidRPr="00B41019" w:rsidRDefault="00B41019" w:rsidP="00B41019">
            <w:pPr>
              <w:jc w:val="center"/>
              <w:rPr>
                <w:lang w:val="en-US"/>
              </w:rPr>
            </w:pPr>
            <w:r>
              <w:rPr>
                <w:rFonts w:ascii="Times New Roman" w:hAnsi="Times New Roman"/>
                <w:b/>
                <w:sz w:val="20"/>
                <w:szCs w:val="20"/>
                <w:lang w:val="en-US"/>
              </w:rPr>
              <w:t>&lt;</w:t>
            </w:r>
            <w:r>
              <w:rPr>
                <w:rFonts w:ascii="Times New Roman" w:hAnsi="Times New Roman"/>
                <w:b/>
                <w:sz w:val="20"/>
                <w:szCs w:val="20"/>
              </w:rPr>
              <w:t>должность</w:t>
            </w:r>
            <w:r>
              <w:rPr>
                <w:rFonts w:ascii="Times New Roman" w:hAnsi="Times New Roman"/>
                <w:b/>
                <w:sz w:val="20"/>
                <w:szCs w:val="20"/>
                <w:lang w:val="en-US"/>
              </w:rPr>
              <w:t>&gt;</w:t>
            </w:r>
          </w:p>
        </w:tc>
        <w:tc>
          <w:tcPr>
            <w:tcW w:w="241" w:type="dxa"/>
            <w:tcBorders>
              <w:top w:val="single" w:sz="4" w:space="0" w:color="auto"/>
            </w:tcBorders>
            <w:vAlign w:val="center"/>
          </w:tcPr>
          <w:p w:rsidR="00B41019" w:rsidRPr="00F25902" w:rsidRDefault="00B41019" w:rsidP="00B41019"/>
        </w:tc>
        <w:tc>
          <w:tcPr>
            <w:tcW w:w="226" w:type="dxa"/>
            <w:tcBorders>
              <w:top w:val="single" w:sz="4" w:space="0" w:color="auto"/>
              <w:left w:val="single" w:sz="4" w:space="0" w:color="auto"/>
            </w:tcBorders>
            <w:vAlign w:val="center"/>
          </w:tcPr>
          <w:p w:rsidR="00B41019" w:rsidRPr="00F25902" w:rsidRDefault="00B41019" w:rsidP="00B41019"/>
        </w:tc>
        <w:tc>
          <w:tcPr>
            <w:tcW w:w="4798" w:type="dxa"/>
            <w:tcBorders>
              <w:top w:val="single" w:sz="4" w:space="0" w:color="auto"/>
            </w:tcBorders>
            <w:vAlign w:val="center"/>
          </w:tcPr>
          <w:p w:rsidR="00B41019" w:rsidRPr="00B41019" w:rsidRDefault="00B41019" w:rsidP="00B41019">
            <w:pPr>
              <w:jc w:val="center"/>
              <w:rPr>
                <w:highlight w:val="yellow"/>
                <w:lang w:val="en-US"/>
              </w:rPr>
            </w:pPr>
            <w:r>
              <w:rPr>
                <w:rFonts w:ascii="Times New Roman" w:hAnsi="Times New Roman"/>
                <w:b/>
                <w:sz w:val="20"/>
                <w:szCs w:val="20"/>
                <w:lang w:val="en-US"/>
              </w:rPr>
              <w:t>&lt;</w:t>
            </w:r>
            <w:r>
              <w:rPr>
                <w:rFonts w:ascii="Times New Roman" w:hAnsi="Times New Roman"/>
                <w:b/>
                <w:sz w:val="20"/>
                <w:szCs w:val="20"/>
              </w:rPr>
              <w:t>Д</w:t>
            </w:r>
            <w:r>
              <w:rPr>
                <w:rFonts w:ascii="Times New Roman" w:hAnsi="Times New Roman"/>
                <w:b/>
                <w:sz w:val="20"/>
                <w:szCs w:val="20"/>
              </w:rPr>
              <w:t>олжность</w:t>
            </w:r>
            <w:r>
              <w:rPr>
                <w:rFonts w:ascii="Times New Roman" w:hAnsi="Times New Roman"/>
                <w:b/>
                <w:sz w:val="20"/>
                <w:szCs w:val="20"/>
                <w:lang w:val="en-US"/>
              </w:rPr>
              <w:t>&gt;</w:t>
            </w:r>
          </w:p>
        </w:tc>
        <w:tc>
          <w:tcPr>
            <w:tcW w:w="241" w:type="dxa"/>
            <w:tcBorders>
              <w:top w:val="single" w:sz="4" w:space="0" w:color="auto"/>
              <w:right w:val="single" w:sz="4" w:space="0" w:color="auto"/>
            </w:tcBorders>
            <w:vAlign w:val="center"/>
          </w:tcPr>
          <w:p w:rsidR="00B41019" w:rsidRPr="00F25902" w:rsidRDefault="00B41019" w:rsidP="00B41019"/>
        </w:tc>
      </w:tr>
      <w:tr w:rsidR="00B41019" w:rsidRPr="00F25902" w:rsidTr="00B41019">
        <w:trPr>
          <w:cantSplit/>
          <w:trHeight w:val="724"/>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tcPr>
          <w:p w:rsidR="00B41019" w:rsidRPr="00F25902" w:rsidRDefault="00B41019" w:rsidP="00B41019">
            <w:r w:rsidRPr="00F25902">
              <w:rPr>
                <w:rFonts w:ascii="Times New Roman" w:hAnsi="Times New Roman"/>
                <w:sz w:val="20"/>
                <w:szCs w:val="20"/>
              </w:rPr>
              <w:t xml:space="preserve">____________________/ </w:t>
            </w:r>
            <w:r>
              <w:rPr>
                <w:rFonts w:ascii="Times New Roman" w:hAnsi="Times New Roman"/>
                <w:b/>
                <w:sz w:val="20"/>
                <w:szCs w:val="20"/>
                <w:lang w:val="en-US"/>
              </w:rPr>
              <w:t>&lt;</w:t>
            </w:r>
            <w:r>
              <w:rPr>
                <w:rFonts w:ascii="Times New Roman" w:hAnsi="Times New Roman"/>
                <w:b/>
                <w:sz w:val="20"/>
                <w:szCs w:val="20"/>
              </w:rPr>
              <w:t>ФИО</w:t>
            </w:r>
            <w:r>
              <w:rPr>
                <w:rFonts w:ascii="Times New Roman" w:hAnsi="Times New Roman"/>
                <w:b/>
                <w:sz w:val="20"/>
                <w:szCs w:val="20"/>
                <w:lang w:val="en-US"/>
              </w:rPr>
              <w:t>&gt;</w:t>
            </w:r>
            <w:bookmarkStart w:id="0" w:name="_GoBack"/>
            <w:bookmarkEnd w:id="0"/>
          </w:p>
        </w:tc>
        <w:tc>
          <w:tcPr>
            <w:tcW w:w="241" w:type="dxa"/>
          </w:tcPr>
          <w:p w:rsidR="00B41019" w:rsidRPr="00F25902" w:rsidRDefault="00B41019" w:rsidP="00B41019"/>
        </w:tc>
        <w:tc>
          <w:tcPr>
            <w:tcW w:w="226" w:type="dxa"/>
            <w:tcBorders>
              <w:left w:val="single" w:sz="4" w:space="0" w:color="auto"/>
            </w:tcBorders>
          </w:tcPr>
          <w:p w:rsidR="00B41019" w:rsidRPr="00F25902" w:rsidRDefault="00B41019" w:rsidP="00B41019"/>
        </w:tc>
        <w:tc>
          <w:tcPr>
            <w:tcW w:w="4798" w:type="dxa"/>
          </w:tcPr>
          <w:p w:rsidR="00B41019" w:rsidRPr="00F25902" w:rsidRDefault="00B41019" w:rsidP="00B41019">
            <w:pPr>
              <w:rPr>
                <w:highlight w:val="yellow"/>
              </w:rPr>
            </w:pPr>
            <w:r w:rsidRPr="00F25902">
              <w:rPr>
                <w:rFonts w:ascii="Times New Roman" w:hAnsi="Times New Roman"/>
                <w:sz w:val="20"/>
                <w:szCs w:val="20"/>
                <w:highlight w:val="yellow"/>
              </w:rPr>
              <w:t xml:space="preserve">____________________/ </w:t>
            </w:r>
            <w:r>
              <w:rPr>
                <w:rFonts w:ascii="Times New Roman" w:hAnsi="Times New Roman"/>
                <w:b/>
                <w:sz w:val="20"/>
                <w:szCs w:val="20"/>
                <w:lang w:val="en-US"/>
              </w:rPr>
              <w:t>&lt;</w:t>
            </w:r>
            <w:r>
              <w:rPr>
                <w:rFonts w:ascii="Times New Roman" w:hAnsi="Times New Roman"/>
                <w:b/>
                <w:sz w:val="20"/>
                <w:szCs w:val="20"/>
              </w:rPr>
              <w:t>ФИО</w:t>
            </w:r>
            <w:r>
              <w:rPr>
                <w:rFonts w:ascii="Times New Roman" w:hAnsi="Times New Roman"/>
                <w:b/>
                <w:sz w:val="20"/>
                <w:szCs w:val="20"/>
                <w:lang w:val="en-US"/>
              </w:rPr>
              <w:t>&gt;</w:t>
            </w: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Pr>
        <w:tc>
          <w:tcPr>
            <w:tcW w:w="242" w:type="dxa"/>
            <w:vAlign w:val="bottom"/>
          </w:tcPr>
          <w:p w:rsidR="00B41019" w:rsidRPr="00F25902" w:rsidRDefault="00B41019" w:rsidP="00B41019"/>
        </w:tc>
        <w:tc>
          <w:tcPr>
            <w:tcW w:w="227" w:type="dxa"/>
            <w:tcBorders>
              <w:left w:val="single" w:sz="4" w:space="0" w:color="auto"/>
            </w:tcBorders>
            <w:vAlign w:val="bottom"/>
          </w:tcPr>
          <w:p w:rsidR="00B41019" w:rsidRPr="00F25902" w:rsidRDefault="00B41019" w:rsidP="00B41019"/>
        </w:tc>
        <w:tc>
          <w:tcPr>
            <w:tcW w:w="4798" w:type="dxa"/>
            <w:vAlign w:val="bottom"/>
          </w:tcPr>
          <w:p w:rsidR="00B41019" w:rsidRPr="00F25902" w:rsidRDefault="00B41019" w:rsidP="00B41019">
            <w:r w:rsidRPr="00F25902">
              <w:rPr>
                <w:rFonts w:ascii="Times New Roman" w:hAnsi="Times New Roman"/>
                <w:sz w:val="20"/>
                <w:szCs w:val="20"/>
              </w:rPr>
              <w:t>м. п.</w:t>
            </w:r>
          </w:p>
        </w:tc>
        <w:tc>
          <w:tcPr>
            <w:tcW w:w="241" w:type="dxa"/>
            <w:vAlign w:val="bottom"/>
          </w:tcPr>
          <w:p w:rsidR="00B41019" w:rsidRPr="00F25902" w:rsidRDefault="00B41019" w:rsidP="00B41019"/>
        </w:tc>
        <w:tc>
          <w:tcPr>
            <w:tcW w:w="226" w:type="dxa"/>
            <w:tcBorders>
              <w:left w:val="single" w:sz="4" w:space="0" w:color="auto"/>
            </w:tcBorders>
            <w:vAlign w:val="bottom"/>
          </w:tcPr>
          <w:p w:rsidR="00B41019" w:rsidRPr="00F25902" w:rsidRDefault="00B41019" w:rsidP="00B41019"/>
        </w:tc>
        <w:tc>
          <w:tcPr>
            <w:tcW w:w="4798" w:type="dxa"/>
            <w:vAlign w:val="bottom"/>
          </w:tcPr>
          <w:p w:rsidR="00B41019" w:rsidRPr="00F25902" w:rsidRDefault="00B41019" w:rsidP="00B41019">
            <w:pPr>
              <w:rPr>
                <w:highlight w:val="yellow"/>
              </w:rPr>
            </w:pPr>
            <w:r w:rsidRPr="00F25902">
              <w:rPr>
                <w:rFonts w:ascii="Times New Roman" w:hAnsi="Times New Roman"/>
                <w:sz w:val="20"/>
                <w:szCs w:val="20"/>
                <w:highlight w:val="yellow"/>
              </w:rPr>
              <w:t>м. п.</w:t>
            </w:r>
          </w:p>
        </w:tc>
        <w:tc>
          <w:tcPr>
            <w:tcW w:w="241" w:type="dxa"/>
            <w:tcBorders>
              <w:right w:val="single" w:sz="4" w:space="0" w:color="auto"/>
            </w:tcBorders>
            <w:vAlign w:val="bottom"/>
          </w:tcPr>
          <w:p w:rsidR="00B41019" w:rsidRPr="00F25902" w:rsidRDefault="00B41019" w:rsidP="00B41019"/>
        </w:tc>
      </w:tr>
      <w:tr w:rsidR="00B41019" w:rsidRPr="00F25902" w:rsidTr="00B41019">
        <w:trPr>
          <w:cantSplit/>
          <w:trHeight w:val="1271"/>
        </w:trPr>
        <w:tc>
          <w:tcPr>
            <w:tcW w:w="242" w:type="dxa"/>
            <w:vAlign w:val="bottom"/>
          </w:tcPr>
          <w:p w:rsidR="00B41019" w:rsidRPr="00F25902" w:rsidRDefault="00B41019" w:rsidP="00B41019"/>
        </w:tc>
        <w:tc>
          <w:tcPr>
            <w:tcW w:w="227" w:type="dxa"/>
            <w:tcBorders>
              <w:left w:val="single" w:sz="4" w:space="0" w:color="auto"/>
              <w:bottom w:val="single" w:sz="4" w:space="0" w:color="auto"/>
            </w:tcBorders>
            <w:vAlign w:val="bottom"/>
          </w:tcPr>
          <w:p w:rsidR="00B41019" w:rsidRPr="00F25902" w:rsidRDefault="00B41019" w:rsidP="00B41019"/>
        </w:tc>
        <w:tc>
          <w:tcPr>
            <w:tcW w:w="4798" w:type="dxa"/>
            <w:tcBorders>
              <w:bottom w:val="single" w:sz="4" w:space="0" w:color="auto"/>
            </w:tcBorders>
            <w:vAlign w:val="bottom"/>
          </w:tcPr>
          <w:p w:rsidR="00B41019" w:rsidRPr="00F25902" w:rsidRDefault="00B41019" w:rsidP="00B41019"/>
        </w:tc>
        <w:tc>
          <w:tcPr>
            <w:tcW w:w="241" w:type="dxa"/>
            <w:tcBorders>
              <w:bottom w:val="single" w:sz="4" w:space="0" w:color="auto"/>
            </w:tcBorders>
            <w:vAlign w:val="bottom"/>
          </w:tcPr>
          <w:p w:rsidR="00B41019" w:rsidRPr="00F25902" w:rsidRDefault="00B41019" w:rsidP="00B41019"/>
        </w:tc>
        <w:tc>
          <w:tcPr>
            <w:tcW w:w="226" w:type="dxa"/>
            <w:tcBorders>
              <w:left w:val="single" w:sz="4" w:space="0" w:color="auto"/>
              <w:bottom w:val="single" w:sz="4" w:space="0" w:color="auto"/>
            </w:tcBorders>
            <w:vAlign w:val="bottom"/>
          </w:tcPr>
          <w:p w:rsidR="00B41019" w:rsidRPr="00F25902" w:rsidRDefault="00B41019" w:rsidP="00B41019"/>
        </w:tc>
        <w:tc>
          <w:tcPr>
            <w:tcW w:w="4798" w:type="dxa"/>
            <w:tcBorders>
              <w:bottom w:val="single" w:sz="4" w:space="0" w:color="auto"/>
            </w:tcBorders>
            <w:vAlign w:val="bottom"/>
          </w:tcPr>
          <w:p w:rsidR="00B41019" w:rsidRPr="00F25902" w:rsidRDefault="00B41019" w:rsidP="00B41019"/>
        </w:tc>
        <w:tc>
          <w:tcPr>
            <w:tcW w:w="241" w:type="dxa"/>
            <w:tcBorders>
              <w:bottom w:val="single" w:sz="4" w:space="0" w:color="auto"/>
              <w:right w:val="single" w:sz="4" w:space="0" w:color="auto"/>
            </w:tcBorders>
            <w:vAlign w:val="bottom"/>
          </w:tcPr>
          <w:p w:rsidR="00B41019" w:rsidRPr="00F25902" w:rsidRDefault="00B41019" w:rsidP="00B41019"/>
        </w:tc>
      </w:tr>
    </w:tbl>
    <w:p w:rsidR="00F25902" w:rsidRPr="00F25902" w:rsidRDefault="00F25902" w:rsidP="00F25902">
      <w:pPr>
        <w:spacing w:line="278" w:lineRule="auto"/>
        <w:rPr>
          <w:rFonts w:eastAsiaTheme="minorEastAsia" w:cs="Times New Roman"/>
          <w:kern w:val="2"/>
          <w:sz w:val="24"/>
          <w:szCs w:val="24"/>
          <w:lang w:eastAsia="ru-RU"/>
        </w:rPr>
      </w:pPr>
    </w:p>
    <w:p w:rsidR="00D33BF8" w:rsidRDefault="000E03D6"/>
    <w:sectPr w:rsidR="00D33BF8" w:rsidSect="00A43DAD">
      <w:footerReference w:type="default" r:id="rId6"/>
      <w:footerReference w:type="first" r:id="rId7"/>
      <w:pgSz w:w="11907" w:h="16839"/>
      <w:pgMar w:top="850" w:right="567"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3D6" w:rsidRDefault="000E03D6">
      <w:pPr>
        <w:spacing w:after="0" w:line="240" w:lineRule="auto"/>
      </w:pPr>
      <w:r>
        <w:separator/>
      </w:r>
    </w:p>
  </w:endnote>
  <w:endnote w:type="continuationSeparator" w:id="0">
    <w:p w:rsidR="000E03D6" w:rsidRDefault="000E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6D2" w:rsidRDefault="00F25902">
    <w:r>
      <w:rPr>
        <w:rFonts w:ascii="TimesNewRoman" w:hAnsi="TimesNewRoman"/>
        <w:sz w:val="18"/>
      </w:rPr>
      <w:t>_____________________       (поставщик)</w:t>
    </w:r>
    <w:r>
      <w:tab/>
    </w:r>
    <w:r>
      <w:rPr>
        <w:rFonts w:ascii="TimesNewRoman" w:hAnsi="TimesNewRoman"/>
        <w:sz w:val="18"/>
      </w:rPr>
      <w:fldChar w:fldCharType="begin"/>
    </w:r>
    <w:r>
      <w:rPr>
        <w:rFonts w:ascii="TimesNewRoman" w:hAnsi="TimesNewRoman"/>
        <w:sz w:val="18"/>
      </w:rPr>
      <w:instrText>PAGE   \* MERGEFORMAT</w:instrText>
    </w:r>
    <w:r>
      <w:rPr>
        <w:rFonts w:ascii="TimesNewRoman" w:hAnsi="TimesNewRoman"/>
        <w:sz w:val="18"/>
      </w:rPr>
      <w:fldChar w:fldCharType="separate"/>
    </w:r>
    <w:r w:rsidR="00B41019">
      <w:rPr>
        <w:rFonts w:ascii="TimesNewRoman" w:hAnsi="TimesNewRoman"/>
        <w:noProof/>
        <w:sz w:val="18"/>
      </w:rPr>
      <w:t>1</w:t>
    </w:r>
    <w:r>
      <w:rPr>
        <w:rFonts w:ascii="TimesNewRoman" w:hAnsi="TimesNewRoman"/>
        <w:sz w:val="18"/>
      </w:rPr>
      <w:fldChar w:fldCharType="end"/>
    </w:r>
    <w:r>
      <w:tab/>
    </w:r>
    <w:r>
      <w:ptab w:relativeTo="margin" w:alignment="right" w:leader="none"/>
    </w:r>
    <w:r>
      <w:rPr>
        <w:rFonts w:ascii="TimesNewRoman" w:hAnsi="TimesNewRoman"/>
        <w:sz w:val="18"/>
      </w:rPr>
      <w:t xml:space="preserve">_____________________       (покупатель)       </w:t>
    </w:r>
  </w:p>
  <w:p w:rsidR="006D76D2" w:rsidRDefault="000E03D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6D2" w:rsidRDefault="00F25902">
    <w:r>
      <w:rPr>
        <w:rFonts w:ascii="TimesNewRoman" w:hAnsi="TimesNewRoman"/>
        <w:sz w:val="18"/>
      </w:rPr>
      <w:t>_____________________       (поставщик)</w:t>
    </w:r>
    <w:r>
      <w:tab/>
    </w:r>
    <w:r>
      <w:rPr>
        <w:rFonts w:ascii="TimesNewRoman" w:hAnsi="TimesNewRoman"/>
        <w:sz w:val="18"/>
      </w:rPr>
      <w:fldChar w:fldCharType="begin"/>
    </w:r>
    <w:r>
      <w:rPr>
        <w:rFonts w:ascii="TimesNewRoman" w:hAnsi="TimesNewRoman"/>
        <w:sz w:val="18"/>
      </w:rPr>
      <w:instrText>PAGE   \* MERGEFORMAT</w:instrText>
    </w:r>
    <w:r>
      <w:rPr>
        <w:rFonts w:ascii="TimesNewRoman" w:hAnsi="TimesNewRoman"/>
        <w:sz w:val="18"/>
      </w:rPr>
      <w:fldChar w:fldCharType="end"/>
    </w:r>
    <w:r>
      <w:tab/>
    </w:r>
    <w:r>
      <w:ptab w:relativeTo="margin" w:alignment="right" w:leader="none"/>
    </w:r>
    <w:r>
      <w:rPr>
        <w:rFonts w:ascii="TimesNewRoman" w:hAnsi="TimesNewRoman"/>
        <w:sz w:val="18"/>
      </w:rPr>
      <w:t xml:space="preserve">_____________________       (покупатель)       </w:t>
    </w:r>
  </w:p>
  <w:p w:rsidR="006D76D2" w:rsidRDefault="000E03D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3D6" w:rsidRDefault="000E03D6">
      <w:pPr>
        <w:spacing w:after="0" w:line="240" w:lineRule="auto"/>
      </w:pPr>
      <w:r>
        <w:separator/>
      </w:r>
    </w:p>
  </w:footnote>
  <w:footnote w:type="continuationSeparator" w:id="0">
    <w:p w:rsidR="000E03D6" w:rsidRDefault="000E03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E6"/>
    <w:rsid w:val="000E03D6"/>
    <w:rsid w:val="00106B7B"/>
    <w:rsid w:val="00905643"/>
    <w:rsid w:val="00B41019"/>
    <w:rsid w:val="00E87DE6"/>
    <w:rsid w:val="00F25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809"/>
  <w15:chartTrackingRefBased/>
  <w15:docId w15:val="{EB900DCE-51F6-40F8-9835-52F8A050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F25902"/>
    <w:pPr>
      <w:spacing w:after="0" w:line="240" w:lineRule="auto"/>
    </w:pPr>
    <w:rPr>
      <w:rFonts w:ascii="Arial" w:eastAsiaTheme="minorEastAsia" w:hAnsi="Arial" w:cs="Times New Roman"/>
      <w:kern w:val="2"/>
      <w:sz w:val="14"/>
      <w:szCs w:val="24"/>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2358</Words>
  <Characters>13443</Characters>
  <Application>Microsoft Office Word</Application>
  <DocSecurity>0</DocSecurity>
  <Lines>112</Lines>
  <Paragraphs>31</Paragraphs>
  <ScaleCrop>false</ScaleCrop>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cp:lastModifiedBy>
  <cp:revision>5</cp:revision>
  <dcterms:created xsi:type="dcterms:W3CDTF">2025-08-01T12:21:00Z</dcterms:created>
  <dcterms:modified xsi:type="dcterms:W3CDTF">2025-08-01T14:23:00Z</dcterms:modified>
</cp:coreProperties>
</file>